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xml" ContentType="application/vnd.openxmlformats-officedocument.wordprocessingml.comments+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numbering.xml" ContentType="application/vnd.openxmlformats-officedocument.wordprocessingml.numbering+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theme/theme1.xml" ContentType="application/vnd.openxmlformats-officedocument.theme+xml"/>
  <Override PartName="/word/endnotes.xml" ContentType="application/vnd.openxmlformats-officedocument.wordprocessingml.endnotes+xml"/>
  <Override PartName="/word/fontTable.xml" ContentType="application/vnd.openxmlformats-officedocument.wordprocessingml.fontTable+xml"/>
  <Override PartName="/word/webSettings.xml" ContentType="application/vnd.openxmlformats-officedocument.wordprocessingml.webSettings+xml"/>
  <Override PartName="/word/header3.xml" ContentType="application/vnd.openxmlformats-officedocument.wordprocessingml.header+xml"/>
  <Override PartName="/word/commentsExtensible.xml" ContentType="application/vnd.openxmlformats-officedocument.wordprocessingml.commentsExtensible+xml"/>
  <Override PartName="/word/settings.xml" ContentType="application/vnd.openxmlformats-officedocument.wordprocessingml.settings+xml"/>
  <Override PartName="/word/document.xml" ContentType="application/vnd.openxmlformats-officedocument.wordprocessingml.document.main+xml"/>
  <Override PartName="/customXml/itemProps1.xml" ContentType="application/vnd.openxmlformats-officedocument.customXmlProperties+xml"/>
  <Override PartName="/word/footnotes.xml" ContentType="application/vnd.openxmlformats-officedocument.wordprocessingml.footnotes+xml"/>
  <Override PartName="/word/styles.xml" ContentType="application/vnd.openxmlformats-officedocument.wordprocessingml.styl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814"/>
        <w:ind w:left="0" w:right="0"/>
        <w:jc w:val="center"/>
        <w:spacing w:before="0"/>
        <w:rPr>
          <w:rFonts w:ascii="Palatino Linotype" w:hAnsi="Palatino Linotype"/>
          <w:b/>
          <w:bCs/>
          <w:color w:val="0b474c"/>
          <w:spacing w:val="-22"/>
          <w:sz w:val="28"/>
          <w:szCs w:val="28"/>
        </w:rPr>
      </w:pPr>
      <w:r>
        <w:rPr>
          <w:rFonts w:ascii="Palatino Linotype" w:hAnsi="Palatino Linotype"/>
          <w:b/>
          <w:bCs/>
          <w:color w:val="0b474c"/>
          <w:spacing w:val="-22"/>
          <w:sz w:val="28"/>
          <w:szCs w:val="28"/>
        </w:rPr>
        <mc:AlternateContent>
          <mc:Choice Requires="wpg">
            <w:drawing>
              <wp:anchor xmlns:wp="http://schemas.openxmlformats.org/drawingml/2006/wordprocessingDrawing" xmlns:wp14="http://schemas.microsoft.com/office/word/2010/wordprocessingDrawing" distT="0" distB="0" distL="114300" distR="114300" simplePos="0" relativeHeight="251669504"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1" name="Rechteck 1"/>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miter/>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0" o:spid="_x0000_s0" o:spt="1" type="#_x0000_t1" style="position:absolute;z-index:251669504;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b/>
          <w:bCs/>
          <w:color w:val="0b474c"/>
          <w:spacing w:val="-22"/>
          <w:sz w:val="28"/>
          <w:szCs w:val="28"/>
        </w:rPr>
        <w:t xml:space="preserve">Urteilskompetenz in der historisch-politischen Bildung</w:t>
      </w:r>
      <w:r/>
    </w:p>
    <w:p>
      <w:pPr>
        <w:pStyle w:val="814"/>
        <w:ind w:left="0" w:right="0"/>
        <w:jc w:val="center"/>
        <w:spacing w:before="0"/>
        <w:rPr>
          <w:rFonts w:ascii="Palatino Linotype" w:hAnsi="Palatino Linotype"/>
          <w:b/>
          <w:bCs/>
          <w:color w:val="0b474c"/>
          <w:spacing w:val="-22"/>
          <w:sz w:val="26"/>
          <w:szCs w:val="26"/>
        </w:rPr>
      </w:pPr>
      <w:r>
        <w:rPr>
          <w:rFonts w:ascii="Palatino Linotype" w:hAnsi="Palatino Linotype"/>
          <w:b/>
          <w:bCs/>
          <w:color w:val="0b474c"/>
          <w:spacing w:val="-22"/>
          <w:sz w:val="26"/>
          <w:szCs w:val="26"/>
        </w:rPr>
        <w:t xml:space="preserve">Wie ist Deutschlands Umgang mit den Opfern des Porajmos nach dem Krieg zu bewerten</w:t>
      </w:r>
      <w:commentRangeStart w:id="0"/>
      <w:r>
        <w:rPr>
          <w:rFonts w:ascii="Palatino Linotype" w:hAnsi="Palatino Linotype"/>
          <w:b/>
          <w:bCs/>
          <w:color w:val="0b474c"/>
          <w:spacing w:val="-22"/>
          <w:sz w:val="26"/>
          <w:szCs w:val="26"/>
        </w:rPr>
        <w:t xml:space="preserve">?</w:t>
      </w:r>
      <w:commentRangeEnd w:id="0"/>
      <w:r>
        <w:commentReference w:id="0"/>
      </w:r>
      <w:r>
        <w:rPr>
          <w:rFonts w:ascii="Palatino Linotype" w:hAnsi="Palatino Linotype"/>
          <w:b/>
          <w:bCs/>
          <w:color w:val="0b474c"/>
          <w:spacing w:val="-22"/>
          <w:sz w:val="26"/>
          <w:szCs w:val="26"/>
        </w:rPr>
      </w:r>
      <w:r/>
    </w:p>
    <w:p>
      <w:pPr>
        <w:jc w:val="both"/>
      </w:pPr>
      <w:r/>
      <w:r/>
    </w:p>
    <w:p>
      <w:pPr>
        <w:jc w:val="both"/>
        <w:widowControl w:val="off"/>
        <w:rPr>
          <w:rFonts w:ascii="Palatino Linotype" w:hAnsi="Palatino Linotype" w:eastAsia="Arial Narrow" w:cs="Arial Narrow"/>
          <w:i/>
          <w:iCs/>
          <w:color w:val="0b474c"/>
          <w:sz w:val="20"/>
          <w:szCs w:val="20"/>
          <w:lang w:eastAsia="de-DE" w:bidi="de-DE"/>
        </w:rPr>
      </w:pPr>
      <w:r>
        <w:rPr>
          <w:rFonts w:ascii="Palatino Linotype" w:hAnsi="Palatino Linotype" w:eastAsia="Arial Narrow" w:cs="Arial Narrow"/>
          <w:i/>
          <w:iCs/>
          <w:color w:val="0b474c"/>
          <w:sz w:val="20"/>
          <w:szCs w:val="20"/>
          <w:lang w:eastAsia="de-DE" w:bidi="de-DE"/>
        </w:rPr>
        <w:t xml:space="preserve">Die Aufarbeitung des nationalsozialistischen Völkermords an den Sinti und Roma (Porajmos) in Deutschland nach 1945 war von zahlreichen Rückschlägen und Problemen geprägt. Gerichte und Behörden verweigerten vielen Betroffenen Entschädigun</w:t>
      </w:r>
      <w:r>
        <w:rPr>
          <w:rFonts w:ascii="Palatino Linotype" w:hAnsi="Palatino Linotype" w:eastAsia="Arial Narrow" w:cs="Arial Narrow"/>
          <w:i/>
          <w:iCs/>
          <w:color w:val="0b474c"/>
          <w:sz w:val="20"/>
          <w:szCs w:val="20"/>
          <w:lang w:eastAsia="de-DE" w:bidi="de-DE"/>
        </w:rPr>
        <w:t xml:space="preserve">gszahlungen und beriefen sich dabei mitunter sogar auf Gutachten der Nationalsozialisten. Auch die offizielle Anerkennung durch den deutschen Staat dauerte bis 1982. Seit 2012 gibt es ein eigenes Denkmal für die ermordeten Sinti und Roma Europas in Berlin.</w:t>
      </w:r>
      <w:r>
        <w:rPr>
          <w:rFonts w:ascii="Palatino Linotype" w:hAnsi="Palatino Linotype" w:eastAsia="Arial Narrow" w:cs="Arial Narrow"/>
          <w:i/>
          <w:iCs/>
          <w:color w:val="0b474c"/>
          <w:sz w:val="20"/>
          <w:szCs w:val="20"/>
          <w:lang w:eastAsia="de-DE" w:bidi="de-DE"/>
        </w:rPr>
        <w:t xml:space="preserve"> Im Jahr 2022 entschuldigte sich Bundespräsident Frank-Walter Steinmeier offiziell bei den Sinti und Roma</w:t>
      </w:r>
      <w:r>
        <w:rPr>
          <w:rFonts w:ascii="Palatino Linotype" w:hAnsi="Palatino Linotype" w:eastAsia="Arial Narrow" w:cs="Arial Narrow"/>
          <w:i/>
          <w:iCs/>
          <w:color w:val="0b474c"/>
          <w:sz w:val="20"/>
          <w:szCs w:val="20"/>
          <w:lang w:eastAsia="de-DE" w:bidi="de-DE"/>
        </w:rPr>
        <w:t xml:space="preserve"> für das erlittene Unrecht</w:t>
      </w:r>
      <w:r>
        <w:rPr>
          <w:rFonts w:ascii="Palatino Linotype" w:hAnsi="Palatino Linotype" w:eastAsia="Arial Narrow" w:cs="Arial Narrow"/>
          <w:i/>
          <w:iCs/>
          <w:color w:val="0b474c"/>
          <w:sz w:val="20"/>
          <w:szCs w:val="20"/>
          <w:lang w:eastAsia="de-DE" w:bidi="de-DE"/>
        </w:rPr>
        <w:t xml:space="preserve">.</w:t>
      </w:r>
      <w:r/>
    </w:p>
    <w:p>
      <w:pPr>
        <w:jc w:val="both"/>
      </w:pPr>
      <w:r/>
      <w:r/>
    </w:p>
    <w:p>
      <w:pPr>
        <w:jc w:val="both"/>
      </w:pPr>
      <w:r>
        <mc:AlternateContent>
          <mc:Choice Requires="wpg">
            <w:drawing>
              <wp:inline xmlns:wp="http://schemas.openxmlformats.org/drawingml/2006/wordprocessingDrawing" distT="0" distB="0" distL="0" distR="0">
                <wp:extent cx="5753100" cy="382905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r/>
                      </pic:nvPicPr>
                      <pic:blipFill>
                        <a:blip r:embed="rId17"/>
                        <a:stretch/>
                      </pic:blipFill>
                      <pic:spPr bwMode="auto">
                        <a:xfrm>
                          <a:off x="0" y="0"/>
                          <a:ext cx="5753100" cy="382905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53.0pt;height:301.5pt;mso-wrap-distance-left:0.0pt;mso-wrap-distance-top:0.0pt;mso-wrap-distance-right:0.0pt;mso-wrap-distance-bottom:0.0pt;" stroked="f">
                <v:path textboxrect="0,0,0,0"/>
                <v:imagedata r:id="rId17" o:title=""/>
              </v:shape>
            </w:pict>
          </mc:Fallback>
        </mc:AlternateContent>
      </w:r>
      <w:r/>
    </w:p>
    <w:p>
      <w:pPr>
        <w:pStyle w:val="838"/>
        <w:ind w:left="567" w:hanging="567"/>
        <w:jc w:val="center"/>
        <w:tabs>
          <w:tab w:val="left" w:pos="845" w:leader="none"/>
        </w:tabs>
        <w:rPr>
          <w:rFonts w:ascii="Palatino Linotype" w:hAnsi="Palatino Linotype"/>
        </w:rPr>
      </w:pPr>
      <w:r>
        <w:rPr>
          <w:rFonts w:ascii="Palatino Linotype" w:hAnsi="Palatino Linotype"/>
        </w:rPr>
        <w:t xml:space="preserve">Denkmal für die im Nationalsozialismus ermordeten Sinti und Roma Europas </w:t>
      </w:r>
      <w:r/>
    </w:p>
    <w:p>
      <w:pPr>
        <w:pStyle w:val="838"/>
        <w:ind w:left="567" w:hanging="567"/>
        <w:jc w:val="center"/>
        <w:tabs>
          <w:tab w:val="left" w:pos="845" w:leader="none"/>
        </w:tabs>
        <w:rPr>
          <w:rFonts w:ascii="Palatino Linotype" w:hAnsi="Palatino Linotype"/>
        </w:rPr>
      </w:pPr>
      <w:r>
        <w:rPr>
          <w:rFonts w:ascii="Palatino Linotype" w:hAnsi="Palatino Linotype"/>
        </w:rPr>
        <w:t xml:space="preserve">(</w:t>
      </w:r>
      <w:r>
        <w:rPr>
          <w:rFonts w:ascii="Palatino Linotype" w:hAnsi="Palatino Linotype"/>
        </w:rPr>
        <w:t xml:space="preserve">© </w:t>
      </w:r>
      <w:r>
        <w:rPr>
          <w:rFonts w:ascii="Palatino Linotype" w:hAnsi="Palatino Linotype"/>
        </w:rPr>
        <w:t xml:space="preserve">Stiftung Denkmal</w:t>
      </w:r>
      <w:r>
        <w:rPr>
          <w:rFonts w:ascii="Palatino Linotype" w:hAnsi="Palatino Linotype"/>
        </w:rPr>
        <w:t xml:space="preserve">)</w:t>
      </w:r>
      <w:r/>
    </w:p>
    <w:p>
      <w:pPr>
        <w:jc w:val="both"/>
        <w:spacing w:before="215" w:line="278" w:lineRule="auto"/>
        <w:widowControl w:val="off"/>
        <w:rPr>
          <w:rFonts w:ascii="Palatino Linotype" w:hAnsi="Palatino Linotype" w:eastAsia="Arial Narrow" w:cs="Arial Narrow"/>
          <w:b/>
          <w:bCs/>
          <w:color w:val="0b474c"/>
          <w:sz w:val="10"/>
          <w:szCs w:val="10"/>
          <w:lang w:eastAsia="de-DE" w:bidi="de-DE"/>
        </w:rPr>
      </w:pPr>
      <w:r>
        <w:rPr>
          <w:rFonts w:ascii="Palatino Linotype" w:hAnsi="Palatino Linotype" w:eastAsia="Arial Narrow" w:cs="Arial Narrow"/>
          <w:b/>
          <w:bCs/>
          <w:color w:val="0b474c"/>
          <w:sz w:val="10"/>
          <w:szCs w:val="10"/>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pPr>
      <w:r>
        <w:rPr>
          <w:rFonts w:ascii="Palatino Linotype" w:hAnsi="Palatino Linotype" w:eastAsia="Arial Narrow" w:cs="Arial Narrow"/>
          <w:b/>
          <w:bCs/>
          <w:color w:val="0b474c"/>
          <w:sz w:val="22"/>
          <w:szCs w:val="22"/>
          <w:lang w:eastAsia="de-DE" w:bidi="de-DE"/>
        </w:rPr>
        <w:t xml:space="preserve">Im Rahmen des Projekts </w:t>
      </w:r>
      <w:r>
        <w:rPr>
          <w:rFonts w:ascii="Palatino Linotype" w:hAnsi="Palatino Linotype" w:eastAsia="Arial Narrow" w:cs="Arial Narrow"/>
          <w:b/>
          <w:bCs/>
          <w:color w:val="0b474c"/>
          <w:sz w:val="22"/>
          <w:szCs w:val="22"/>
          <w:lang w:eastAsia="de-DE" w:bidi="de-DE"/>
        </w:rPr>
        <w:t xml:space="preserve">LediZ</w:t>
      </w:r>
      <w:r>
        <w:rPr>
          <w:rFonts w:ascii="Palatino Linotype" w:hAnsi="Palatino Linotype" w:eastAsia="Arial Narrow" w:cs="Arial Narrow"/>
          <w:b/>
          <w:bCs/>
          <w:color w:val="0b474c"/>
          <w:sz w:val="22"/>
          <w:szCs w:val="22"/>
          <w:lang w:eastAsia="de-DE" w:bidi="de-DE"/>
        </w:rPr>
        <w:t xml:space="preserve"> wu</w:t>
      </w:r>
      <w:r>
        <w:rPr>
          <w:rFonts w:ascii="Palatino Linotype" w:hAnsi="Palatino Linotype" w:eastAsia="Arial Narrow" w:cs="Arial Narrow"/>
          <w:b/>
          <w:bCs/>
          <w:color w:val="0b474c"/>
          <w:sz w:val="22"/>
          <w:szCs w:val="22"/>
          <w:lang w:eastAsia="de-DE" w:bidi="de-DE"/>
        </w:rPr>
        <w:t xml:space="preserve">rden insgesamt zehn Menschen aus der Gruppe der deutschsprachigen Sinti und Roma interviewt und ihre Antworten in Form eines interaktiven Zeugnisses aufbereitet. Zum Einstieg eignet sich daher eine Begegnung mit den einzelnen Personen und ihren Biografien.</w:t>
      </w:r>
      <w:r/>
    </w:p>
    <w:p>
      <w:pPr>
        <w:pStyle w:val="838"/>
        <w:ind w:left="567" w:hanging="567"/>
        <w:jc w:val="both"/>
        <w:spacing w:after="60"/>
        <w:tabs>
          <w:tab w:val="left" w:pos="845" w:leader="none"/>
        </w:tabs>
        <w:rPr>
          <w:rFonts w:ascii="Palatino Linotype" w:hAnsi="Palatino Linotype"/>
        </w:rPr>
      </w:pPr>
      <w:r>
        <w:rPr>
          <w:rFonts w:ascii="Palatino Linotype" w:hAnsi="Palatino Linotype"/>
        </w:rPr>
        <w:t xml:space="preserve">1a)</w:t>
      </w:r>
      <w:r>
        <w:rPr>
          <w:rFonts w:ascii="Palatino Linotype" w:hAnsi="Palatino Linotype"/>
        </w:rPr>
        <w:tab/>
        <w:t xml:space="preserve">Lest euch die Biografien der einzelnen Personen</w:t>
      </w:r>
      <w:r>
        <w:rPr>
          <w:rFonts w:ascii="Palatino Linotype" w:hAnsi="Palatino Linotype"/>
        </w:rPr>
        <w:t xml:space="preserve"> (M1)</w:t>
      </w:r>
      <w:r>
        <w:rPr>
          <w:rFonts w:ascii="Palatino Linotype" w:hAnsi="Palatino Linotype"/>
        </w:rPr>
        <w:t xml:space="preserve"> durch und notiert euch Fragen</w:t>
      </w:r>
      <w:r>
        <w:rPr>
          <w:rFonts w:ascii="Palatino Linotype" w:hAnsi="Palatino Linotype"/>
        </w:rPr>
        <w:t xml:space="preserve"> auf dem </w:t>
      </w:r>
      <w:r>
        <w:rPr>
          <w:rFonts w:ascii="Palatino Linotype" w:hAnsi="Palatino Linotype"/>
        </w:rPr>
        <w:t xml:space="preserve">Notizblatt</w:t>
      </w:r>
      <w:r>
        <w:rPr>
          <w:rFonts w:ascii="Palatino Linotype" w:hAnsi="Palatino Linotype"/>
        </w:rPr>
        <w:t xml:space="preserve"> (M2)</w:t>
      </w:r>
      <w:r>
        <w:rPr>
          <w:rFonts w:ascii="Palatino Linotype" w:hAnsi="Palatino Linotype"/>
        </w:rPr>
        <w:t xml:space="preserve">, die ihr den Personen gerne stellen würdet.</w:t>
      </w:r>
      <w:r/>
    </w:p>
    <w:p>
      <w:pPr>
        <w:pStyle w:val="838"/>
        <w:ind w:left="567" w:hanging="567"/>
        <w:jc w:val="both"/>
        <w:spacing w:after="60"/>
        <w:tabs>
          <w:tab w:val="left" w:pos="845" w:leader="none"/>
        </w:tabs>
        <w:rPr>
          <w:rFonts w:ascii="Palatino Linotype" w:hAnsi="Palatino Linotype"/>
        </w:rPr>
      </w:pPr>
      <w:r>
        <w:rPr>
          <w:rFonts w:ascii="Palatino Linotype" w:hAnsi="Palatino Linotype"/>
        </w:rPr>
        <w:t xml:space="preserve">1b)</w:t>
      </w:r>
      <w:r>
        <w:rPr>
          <w:rFonts w:ascii="Palatino Linotype" w:hAnsi="Palatino Linotype"/>
        </w:rPr>
        <w:tab/>
        <w:t xml:space="preserve">Stellt eure Fragen an die </w:t>
      </w:r>
      <w:r>
        <w:rPr>
          <w:rFonts w:ascii="Palatino Linotype" w:hAnsi="Palatino Linotype"/>
        </w:rPr>
        <w:t xml:space="preserve">interaktiven </w:t>
      </w:r>
      <w:r>
        <w:rPr>
          <w:rFonts w:ascii="Palatino Linotype" w:hAnsi="Palatino Linotype"/>
        </w:rPr>
        <w:t xml:space="preserve">Zeugnisse</w:t>
      </w:r>
      <w:r>
        <w:rPr>
          <w:rFonts w:ascii="Palatino Linotype" w:hAnsi="Palatino Linotype"/>
        </w:rPr>
        <w:t xml:space="preserve"> und notiert euch jeweils</w:t>
      </w:r>
      <w:r>
        <w:rPr>
          <w:rFonts w:ascii="Palatino Linotype" w:hAnsi="Palatino Linotype"/>
        </w:rPr>
        <w:t xml:space="preserve">, ob die Antworten zu den Fragen für euch zufriedenstellend waren</w:t>
      </w:r>
      <w:r>
        <w:rPr>
          <w:rFonts w:ascii="Palatino Linotype" w:hAnsi="Palatino Linotype"/>
        </w:rPr>
        <w:t xml:space="preserve">.</w:t>
      </w:r>
      <w:r/>
    </w:p>
    <w:p>
      <w:pPr>
        <w:pStyle w:val="838"/>
        <w:ind w:left="567" w:hanging="567"/>
        <w:jc w:val="both"/>
        <w:spacing w:after="60"/>
        <w:tabs>
          <w:tab w:val="left" w:pos="845" w:leader="none"/>
        </w:tabs>
        <w:rPr>
          <w:rFonts w:ascii="Palatino Linotype" w:hAnsi="Palatino Linotype"/>
        </w:rPr>
      </w:pPr>
      <w:r>
        <w:rPr>
          <w:rFonts w:ascii="Palatino Linotype" w:hAnsi="Palatino Linotype"/>
        </w:rPr>
        <w:t xml:space="preserve">1c)</w:t>
      </w:r>
      <w:r>
        <w:rPr>
          <w:rFonts w:ascii="Palatino Linotype" w:hAnsi="Palatino Linotype"/>
        </w:rPr>
        <w:tab/>
        <w:t xml:space="preserve">Überlegt, ob ihr nicht oder falsch beantwortete Fragen gegebenenfalls anders formulieren könntet. Probiert gemeinsam aus, ob ihr so ein besseres Resultat bekommt.</w:t>
      </w:r>
      <w:r/>
    </w:p>
    <w:p>
      <w:pPr>
        <w:pStyle w:val="838"/>
        <w:ind w:left="567" w:hanging="567"/>
        <w:jc w:val="both"/>
        <w:spacing w:after="60"/>
        <w:tabs>
          <w:tab w:val="left" w:pos="845" w:leader="none"/>
        </w:tabs>
        <w:rPr>
          <w:rFonts w:ascii="Palatino Linotype" w:hAnsi="Palatino Linotype"/>
        </w:rPr>
      </w:pPr>
      <w:r>
        <w:rPr>
          <w:rFonts w:ascii="Palatino Linotype" w:hAnsi="Palatino Linotype"/>
        </w:rPr>
        <w:t xml:space="preserve">1d)</w:t>
      </w:r>
      <w:r>
        <w:rPr>
          <w:rFonts w:ascii="Palatino Linotype" w:hAnsi="Palatino Linotype"/>
        </w:rPr>
        <w:tab/>
        <w:t xml:space="preserve">Reflektiert, welche positiven und negativen Unterschiede euch</w:t>
      </w:r>
      <w:r>
        <w:rPr>
          <w:rFonts w:ascii="Palatino Linotype" w:hAnsi="Palatino Linotype"/>
        </w:rPr>
        <w:t xml:space="preserve"> bei der Interaktion mit den </w:t>
      </w:r>
      <w:r>
        <w:rPr>
          <w:rFonts w:ascii="Palatino Linotype" w:hAnsi="Palatino Linotype"/>
        </w:rPr>
        <w:t xml:space="preserve">Biografien</w:t>
      </w:r>
      <w:r>
        <w:rPr>
          <w:rFonts w:ascii="Palatino Linotype" w:hAnsi="Palatino Linotype"/>
        </w:rPr>
        <w:t xml:space="preserve"> im Vergleich zu einem persönlichen Gespräch </w:t>
      </w:r>
      <w:r>
        <w:rPr>
          <w:rFonts w:ascii="Palatino Linotype" w:hAnsi="Palatino Linotype"/>
        </w:rPr>
        <w:t xml:space="preserve">auffallen. </w:t>
      </w:r>
      <w:r>
        <w:rPr>
          <w:rFonts w:ascii="Palatino Linotype" w:hAnsi="Palatino Linotype"/>
        </w:rPr>
        <w:t xml:space="preserve">Erläutert die</w:t>
      </w:r>
      <w:r>
        <w:rPr>
          <w:rFonts w:ascii="Palatino Linotype" w:hAnsi="Palatino Linotype"/>
        </w:rPr>
        <w:t xml:space="preserve"> Konsequenzen</w:t>
      </w:r>
      <w:r>
        <w:rPr>
          <w:rFonts w:ascii="Palatino Linotype" w:hAnsi="Palatino Linotype"/>
        </w:rPr>
        <w:t xml:space="preserve"> für die Kommunikation</w:t>
      </w:r>
      <w:r>
        <w:rPr>
          <w:rFonts w:ascii="Palatino Linotype" w:hAnsi="Palatino Linotype"/>
        </w:rPr>
        <w:t xml:space="preserve">, die sich</w:t>
      </w:r>
      <w:r>
        <w:rPr>
          <w:rFonts w:ascii="Palatino Linotype" w:hAnsi="Palatino Linotype"/>
        </w:rPr>
        <w:t xml:space="preserve"> </w:t>
      </w:r>
      <w:r>
        <w:rPr>
          <w:rFonts w:ascii="Palatino Linotype" w:hAnsi="Palatino Linotype"/>
        </w:rPr>
        <w:t xml:space="preserve">daraus</w:t>
      </w:r>
      <w:r>
        <w:rPr>
          <w:rFonts w:ascii="Palatino Linotype" w:hAnsi="Palatino Linotype"/>
        </w:rPr>
        <w:t xml:space="preserve"> ergeben</w:t>
      </w:r>
      <w:r>
        <w:rPr>
          <w:rFonts w:ascii="Palatino Linotype" w:hAnsi="Palatino Linotype"/>
        </w:rPr>
        <w:t xml:space="preserve"> könnten.</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pPr>
      <w:r>
        <w:rPr>
          <w:rFonts w:ascii="Palatino Linotype" w:hAnsi="Palatino Linotype" w:eastAsia="Arial Narrow" w:cs="Arial Narrow"/>
          <w:b/>
          <w:bCs/>
          <w:color w:val="0b474c"/>
          <w:sz w:val="22"/>
          <w:szCs w:val="22"/>
          <w:lang w:eastAsia="de-DE" w:bidi="de-DE"/>
        </w:rPr>
        <w:t xml:space="preserve">Die Erfahrungen während und nach 1945 haben für Sinti und Roma eine besondere Bedeutung.</w:t>
      </w:r>
      <w:r/>
    </w:p>
    <w:p>
      <w:pPr>
        <w:pStyle w:val="838"/>
        <w:ind w:left="567" w:hanging="567"/>
        <w:jc w:val="both"/>
        <w:spacing w:after="60"/>
        <w:tabs>
          <w:tab w:val="left" w:pos="845" w:leader="none"/>
        </w:tabs>
        <w:rPr>
          <w:rFonts w:ascii="Palatino Linotype" w:hAnsi="Palatino Linotype"/>
        </w:rPr>
      </w:pPr>
      <w:r>
        <w:rPr>
          <w:rFonts w:ascii="Palatino Linotype" w:hAnsi="Palatino Linotype"/>
        </w:rPr>
        <w:t xml:space="preserve">2</w:t>
      </w:r>
      <w:r>
        <w:rPr>
          <w:rFonts w:ascii="Palatino Linotype" w:hAnsi="Palatino Linotype"/>
        </w:rPr>
        <w:t xml:space="preserve">a</w:t>
      </w:r>
      <w:r>
        <w:rPr>
          <w:rFonts w:ascii="Palatino Linotype" w:hAnsi="Palatino Linotype"/>
        </w:rPr>
        <w:t xml:space="preserve">)</w:t>
      </w:r>
      <w:r>
        <w:rPr>
          <w:rFonts w:ascii="Palatino Linotype" w:hAnsi="Palatino Linotype"/>
        </w:rPr>
        <w:t xml:space="preserve"> </w:t>
      </w:r>
      <w:r>
        <w:rPr>
          <w:rFonts w:ascii="Palatino Linotype" w:hAnsi="Palatino Linotype"/>
        </w:rPr>
        <w:tab/>
      </w:r>
      <w:r>
        <w:rPr>
          <w:rFonts w:ascii="Palatino Linotype" w:hAnsi="Palatino Linotype"/>
        </w:rPr>
        <w:t xml:space="preserve">Stellt Alexander Diepold die Frage: „Wie sieht die Erinnerungskultur von</w:t>
      </w:r>
      <w:r>
        <w:rPr>
          <w:rFonts w:ascii="Palatino Linotype" w:hAnsi="Palatino Linotype"/>
        </w:rPr>
        <w:t xml:space="preserve"> </w:t>
      </w:r>
      <w:r>
        <w:rPr>
          <w:rFonts w:ascii="Palatino Linotype" w:hAnsi="Palatino Linotype"/>
        </w:rPr>
        <w:t xml:space="preserve">Sinti und Roma aus?“</w:t>
      </w:r>
      <w:r>
        <w:rPr>
          <w:rFonts w:ascii="Palatino Linotype" w:hAnsi="Palatino Linotype"/>
        </w:rPr>
        <w:t xml:space="preserve"> und hört euch die Antwort an.</w:t>
      </w:r>
      <w:r/>
    </w:p>
    <w:p>
      <w:pPr>
        <w:pStyle w:val="838"/>
        <w:ind w:left="567" w:hanging="567"/>
        <w:jc w:val="both"/>
        <w:spacing w:after="60"/>
        <w:tabs>
          <w:tab w:val="left" w:pos="845" w:leader="none"/>
        </w:tabs>
        <w:rPr>
          <w:rFonts w:ascii="Palatino Linotype" w:hAnsi="Palatino Linotype"/>
        </w:rPr>
      </w:pPr>
      <w:r>
        <w:rPr>
          <w:rFonts w:ascii="Palatino Linotype" w:hAnsi="Palatino Linotype"/>
        </w:rPr>
        <w:t xml:space="preserve">2b)</w:t>
      </w:r>
      <w:r>
        <w:rPr>
          <w:rFonts w:ascii="Palatino Linotype" w:hAnsi="Palatino Linotype"/>
        </w:rPr>
        <w:tab/>
        <w:t xml:space="preserve">Erläutert, </w:t>
      </w:r>
      <w:r>
        <w:rPr>
          <w:rFonts w:ascii="Palatino Linotype" w:hAnsi="Palatino Linotype"/>
        </w:rPr>
        <w:t xml:space="preserve">welche Bedeutung</w:t>
      </w:r>
      <w:r>
        <w:rPr>
          <w:rFonts w:ascii="Palatino Linotype" w:hAnsi="Palatino Linotype"/>
        </w:rPr>
        <w:t xml:space="preserve"> </w:t>
      </w:r>
      <w:r>
        <w:rPr>
          <w:rFonts w:ascii="Palatino Linotype" w:hAnsi="Palatino Linotype"/>
        </w:rPr>
        <w:t xml:space="preserve">der Porajmos für Sinti und Roma heute noch hat</w:t>
      </w:r>
      <w:r>
        <w:rPr>
          <w:rFonts w:ascii="Palatino Linotype" w:hAnsi="Palatino Linotype"/>
        </w:rPr>
        <w:t xml:space="preserve">.</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pPr>
      <w:r>
        <w:rPr>
          <w:rFonts w:ascii="Palatino Linotype" w:hAnsi="Palatino Linotype" w:eastAsia="Arial Narrow" w:cs="Arial Narrow"/>
          <w:b/>
          <w:bCs/>
          <w:color w:val="0b474c"/>
          <w:sz w:val="22"/>
          <w:szCs w:val="22"/>
          <w:lang w:eastAsia="de-DE" w:bidi="de-DE"/>
        </w:rPr>
        <w:t xml:space="preserve">Der öffentliche Umgang mit dem Porajmos wird in Deutschland seit </w:t>
      </w:r>
      <w:r>
        <w:rPr>
          <w:rFonts w:ascii="Palatino Linotype" w:hAnsi="Palatino Linotype" w:eastAsia="Arial Narrow" w:cs="Arial Narrow"/>
          <w:b/>
          <w:bCs/>
          <w:color w:val="0b474c"/>
          <w:sz w:val="22"/>
          <w:szCs w:val="22"/>
          <w:lang w:eastAsia="de-DE" w:bidi="de-DE"/>
        </w:rPr>
        <w:t xml:space="preserve">L</w:t>
      </w:r>
      <w:r>
        <w:rPr>
          <w:rFonts w:ascii="Palatino Linotype" w:hAnsi="Palatino Linotype" w:eastAsia="Arial Narrow" w:cs="Arial Narrow"/>
          <w:b/>
          <w:bCs/>
          <w:color w:val="0b474c"/>
          <w:sz w:val="22"/>
          <w:szCs w:val="22"/>
          <w:lang w:eastAsia="de-DE" w:bidi="de-DE"/>
        </w:rPr>
        <w:t xml:space="preserve">angem kritisiert.</w:t>
      </w:r>
      <w:r/>
    </w:p>
    <w:p>
      <w:pPr>
        <w:pStyle w:val="838"/>
        <w:ind w:left="567" w:hanging="567"/>
        <w:jc w:val="both"/>
        <w:tabs>
          <w:tab w:val="left" w:pos="845" w:leader="none"/>
        </w:tabs>
        <w:rPr>
          <w:rFonts w:ascii="Palatino Linotype" w:hAnsi="Palatino Linotype"/>
        </w:rPr>
      </w:pPr>
      <w:r>
        <w:rPr>
          <w:rFonts w:ascii="Palatino Linotype" w:hAnsi="Palatino Linotype"/>
        </w:rPr>
        <w:t xml:space="preserve">3</w:t>
      </w:r>
      <w:r>
        <w:rPr>
          <w:rFonts w:ascii="Palatino Linotype" w:hAnsi="Palatino Linotype"/>
        </w:rPr>
        <w:t xml:space="preserve">a</w:t>
      </w:r>
      <w:r>
        <w:rPr>
          <w:rFonts w:ascii="Palatino Linotype" w:hAnsi="Palatino Linotype"/>
        </w:rPr>
        <w:t xml:space="preserve">)</w:t>
      </w:r>
      <w:r>
        <w:rPr>
          <w:rFonts w:ascii="Palatino Linotype" w:hAnsi="Palatino Linotype"/>
        </w:rPr>
        <w:t xml:space="preserve"> </w:t>
      </w:r>
      <w:r>
        <w:rPr>
          <w:rFonts w:ascii="Palatino Linotype" w:hAnsi="Palatino Linotype"/>
        </w:rPr>
        <w:tab/>
      </w:r>
      <w:r>
        <w:rPr>
          <w:rFonts w:ascii="Palatino Linotype" w:hAnsi="Palatino Linotype"/>
        </w:rPr>
        <w:t xml:space="preserve">Sammelt in Form einer Mindmap, welche Aspekte aus eurer Sicht für eine angemessene Erinnerungskultur besonders wichtig sind. </w:t>
      </w:r>
      <w:r/>
    </w:p>
    <w:p>
      <w:pPr>
        <w:pStyle w:val="838"/>
        <w:ind w:left="567"/>
        <w:jc w:val="both"/>
        <w:spacing w:after="144"/>
        <w:tabs>
          <w:tab w:val="left" w:pos="845" w:leader="none"/>
        </w:tabs>
        <w:rPr>
          <w:rFonts w:ascii="Palatino Linotype" w:hAnsi="Palatino Linotype"/>
          <w:i/>
          <w:iCs/>
        </w:rPr>
      </w:pPr>
      <w:r>
        <w:rPr>
          <w:rFonts w:ascii="Palatino Linotype" w:hAnsi="Palatino Linotype"/>
          <w:i/>
          <w:iCs/>
        </w:rPr>
        <w:t xml:space="preserve">Tipp</w:t>
      </w:r>
      <w:r>
        <w:rPr>
          <w:rFonts w:ascii="Palatino Linotype" w:hAnsi="Palatino Linotype"/>
          <w:i/>
          <w:iCs/>
        </w:rPr>
        <w:t xml:space="preserve">: </w:t>
      </w:r>
      <w:r>
        <w:rPr>
          <w:rFonts w:ascii="Palatino Linotype" w:hAnsi="Palatino Linotype"/>
          <w:i/>
          <w:iCs/>
        </w:rPr>
        <w:t xml:space="preserve">Hilfreiche </w:t>
      </w:r>
      <w:r>
        <w:rPr>
          <w:rFonts w:ascii="Palatino Linotype" w:hAnsi="Palatino Linotype"/>
          <w:i/>
          <w:iCs/>
        </w:rPr>
        <w:t xml:space="preserve">Schlagwörter könnten „Aufarbeitung“, „Gedenken“ oder „Entschädigung“ sein</w:t>
      </w:r>
      <w:r>
        <w:rPr>
          <w:rFonts w:ascii="Palatino Linotype" w:hAnsi="Palatino Linotype"/>
          <w:i/>
          <w:iCs/>
        </w:rPr>
        <w:t xml:space="preserve">.</w:t>
      </w:r>
      <w:r/>
    </w:p>
    <w:p>
      <w:pPr>
        <w:pStyle w:val="838"/>
        <w:ind w:left="567" w:hanging="567"/>
        <w:jc w:val="both"/>
        <w:spacing w:after="144"/>
        <w:tabs>
          <w:tab w:val="left" w:pos="845" w:leader="none"/>
        </w:tabs>
        <w:rPr>
          <w:rFonts w:ascii="Palatino Linotype" w:hAnsi="Palatino Linotype"/>
        </w:rPr>
      </w:pPr>
      <w:r>
        <w:rPr>
          <w:rFonts w:ascii="Palatino Linotype" w:hAnsi="Palatino Linotype"/>
        </w:rPr>
        <w:t xml:space="preserve">3b</w:t>
      </w:r>
      <w:r>
        <w:rPr>
          <w:rFonts w:ascii="Palatino Linotype" w:hAnsi="Palatino Linotype"/>
        </w:rPr>
        <w:t xml:space="preserve">)</w:t>
      </w:r>
      <w:r>
        <w:rPr>
          <w:rFonts w:ascii="Palatino Linotype" w:hAnsi="Palatino Linotype"/>
        </w:rPr>
        <w:tab/>
        <w:t xml:space="preserve">Überlegt euch geeignete Fragen, um eure Aspekte mit den tatsächlichen Erfahrungen der Personen und ihrer Familien abzugleichen.</w:t>
      </w:r>
      <w:r/>
    </w:p>
    <w:p>
      <w:pPr>
        <w:pStyle w:val="838"/>
        <w:ind w:left="567" w:hanging="567"/>
        <w:jc w:val="both"/>
        <w:tabs>
          <w:tab w:val="left" w:pos="845" w:leader="none"/>
        </w:tabs>
        <w:rPr>
          <w:rFonts w:ascii="Palatino Linotype" w:hAnsi="Palatino Linotype"/>
        </w:rPr>
      </w:pPr>
      <w:r>
        <w:rPr>
          <w:rFonts w:ascii="Palatino Linotype" w:hAnsi="Palatino Linotype"/>
        </w:rPr>
        <w:t xml:space="preserve">3c</w:t>
      </w:r>
      <w:r>
        <w:rPr>
          <w:rFonts w:ascii="Palatino Linotype" w:hAnsi="Palatino Linotype"/>
        </w:rPr>
        <w:t xml:space="preserve">)</w:t>
      </w:r>
      <w:r>
        <w:rPr>
          <w:rFonts w:ascii="Palatino Linotype" w:hAnsi="Palatino Linotype"/>
        </w:rPr>
        <w:tab/>
        <w:t xml:space="preserve">Stellt die Fragen an d</w:t>
      </w:r>
      <w:r>
        <w:rPr>
          <w:rFonts w:ascii="Palatino Linotype" w:hAnsi="Palatino Linotype"/>
        </w:rPr>
        <w:t xml:space="preserve">ie interaktiven Biografien</w:t>
      </w:r>
      <w:r>
        <w:rPr>
          <w:rFonts w:ascii="Palatino Linotype" w:hAnsi="Palatino Linotype"/>
        </w:rPr>
        <w:t xml:space="preserve">. Probiert auch verschiedene Formulierungen, wenn ihr keine passenden Antworten bekommt</w:t>
      </w:r>
      <w:r>
        <w:rPr>
          <w:rFonts w:ascii="Palatino Linotype" w:hAnsi="Palatino Linotype"/>
        </w:rPr>
        <w:t xml:space="preserve">.</w:t>
      </w:r>
      <w:r/>
    </w:p>
    <w:p>
      <w:pPr>
        <w:pStyle w:val="838"/>
        <w:ind w:left="567"/>
        <w:jc w:val="both"/>
        <w:tabs>
          <w:tab w:val="left" w:pos="845" w:leader="none"/>
        </w:tabs>
        <w:rPr>
          <w:rFonts w:ascii="Palatino Linotype" w:hAnsi="Palatino Linotype"/>
          <w:i/>
          <w:iCs/>
        </w:rPr>
      </w:pPr>
      <w:r>
        <w:rPr>
          <w:rFonts w:ascii="Palatino Linotype" w:hAnsi="Palatino Linotype"/>
          <w:i/>
          <w:iCs/>
        </w:rPr>
        <w:t xml:space="preserve">Tipp</w:t>
      </w:r>
      <w:r>
        <w:rPr>
          <w:rFonts w:ascii="Palatino Linotype" w:hAnsi="Palatino Linotype"/>
          <w:i/>
          <w:iCs/>
        </w:rPr>
        <w:t xml:space="preserve">: Beispielfragen sin</w:t>
      </w:r>
      <w:r>
        <w:rPr>
          <w:rFonts w:ascii="Palatino Linotype" w:hAnsi="Palatino Linotype"/>
          <w:i/>
          <w:iCs/>
        </w:rPr>
        <w:t xml:space="preserve">d unter M3 zu finden</w:t>
      </w:r>
      <w:r>
        <w:rPr>
          <w:rFonts w:ascii="Palatino Linotype" w:hAnsi="Palatino Linotype"/>
          <w:i/>
          <w:iCs/>
        </w:rPr>
        <w:t xml:space="preserve">.</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pPr>
      <w:r>
        <w:rPr>
          <w:rFonts w:ascii="Palatino Linotype" w:hAnsi="Palatino Linotype" w:eastAsia="Arial Narrow" w:cs="Arial Narrow"/>
          <w:b/>
          <w:bCs/>
          <w:color w:val="0b474c"/>
          <w:sz w:val="22"/>
          <w:szCs w:val="22"/>
          <w:lang w:eastAsia="de-DE" w:bidi="de-DE"/>
        </w:rPr>
        <w:t xml:space="preserve">Im Deutschland der Nachkriegszeit gab es immer wieder skandalöse Entscheidungen durch öffentliche Einrichtungen.</w:t>
      </w:r>
      <w:r/>
    </w:p>
    <w:p>
      <w:pPr>
        <w:pStyle w:val="838"/>
        <w:ind w:left="567" w:hanging="567"/>
        <w:jc w:val="both"/>
        <w:spacing w:after="144"/>
        <w:tabs>
          <w:tab w:val="left" w:pos="845" w:leader="none"/>
        </w:tabs>
        <w:rPr>
          <w:rFonts w:ascii="Palatino Linotype" w:hAnsi="Palatino Linotype"/>
        </w:rPr>
      </w:pPr>
      <w:r>
        <w:rPr>
          <w:rFonts w:ascii="Palatino Linotype" w:hAnsi="Palatino Linotype"/>
        </w:rPr>
        <w:t xml:space="preserve">4</w:t>
      </w:r>
      <w:r>
        <w:rPr>
          <w:rFonts w:ascii="Palatino Linotype" w:hAnsi="Palatino Linotype"/>
        </w:rPr>
        <w:t xml:space="preserve">a</w:t>
      </w:r>
      <w:r>
        <w:rPr>
          <w:rFonts w:ascii="Palatino Linotype" w:hAnsi="Palatino Linotype"/>
        </w:rPr>
        <w:t xml:space="preserve">) </w:t>
      </w:r>
      <w:r>
        <w:rPr>
          <w:rFonts w:ascii="Palatino Linotype" w:hAnsi="Palatino Linotype"/>
        </w:rPr>
        <w:tab/>
      </w:r>
      <w:r>
        <w:rPr>
          <w:rFonts w:ascii="Palatino Linotype" w:hAnsi="Palatino Linotype"/>
        </w:rPr>
        <w:t xml:space="preserve">Entscheidet</w:t>
      </w:r>
      <w:r>
        <w:rPr>
          <w:rFonts w:ascii="Palatino Linotype" w:hAnsi="Palatino Linotype"/>
        </w:rPr>
        <w:t xml:space="preserve"> in Partnerarbeit</w:t>
      </w:r>
      <w:r>
        <w:rPr>
          <w:rFonts w:ascii="Palatino Linotype" w:hAnsi="Palatino Linotype"/>
        </w:rPr>
        <w:t xml:space="preserve">, ob ihr euch mit dem Beitrag der Tagesschau (M4) oder dem Artikel aus dem Tagesspiegel (M5) beschäftigen wollt.</w:t>
      </w:r>
      <w:r/>
    </w:p>
    <w:p>
      <w:pPr>
        <w:pStyle w:val="838"/>
        <w:ind w:left="567" w:hanging="567"/>
        <w:jc w:val="both"/>
        <w:spacing w:after="144"/>
        <w:tabs>
          <w:tab w:val="left" w:pos="845" w:leader="none"/>
        </w:tabs>
        <w:rPr>
          <w:rFonts w:ascii="Palatino Linotype" w:hAnsi="Palatino Linotype"/>
        </w:rPr>
      </w:pPr>
      <w:r>
        <w:rPr>
          <w:rFonts w:ascii="Palatino Linotype" w:hAnsi="Palatino Linotype"/>
        </w:rPr>
        <w:t xml:space="preserve">4</w:t>
      </w:r>
      <w:r>
        <w:rPr>
          <w:rFonts w:ascii="Palatino Linotype" w:hAnsi="Palatino Linotype"/>
        </w:rPr>
        <w:t xml:space="preserve">b</w:t>
      </w:r>
      <w:r>
        <w:rPr>
          <w:rFonts w:ascii="Palatino Linotype" w:hAnsi="Palatino Linotype"/>
        </w:rPr>
        <w:t xml:space="preserve">)</w:t>
      </w:r>
      <w:r>
        <w:rPr>
          <w:rFonts w:ascii="Palatino Linotype" w:hAnsi="Palatino Linotype"/>
        </w:rPr>
        <w:tab/>
        <w:t xml:space="preserve">Fasst den Artikel jeweils für </w:t>
      </w:r>
      <w:r>
        <w:rPr>
          <w:rFonts w:ascii="Palatino Linotype" w:hAnsi="Palatino Linotype"/>
        </w:rPr>
        <w:t xml:space="preserve">eure</w:t>
      </w:r>
      <w:r>
        <w:rPr>
          <w:rFonts w:ascii="Palatino Linotype" w:hAnsi="Palatino Linotype"/>
        </w:rPr>
        <w:t xml:space="preserve">:</w:t>
      </w:r>
      <w:r>
        <w:rPr>
          <w:rFonts w:ascii="Palatino Linotype" w:hAnsi="Palatino Linotype"/>
        </w:rPr>
        <w:t xml:space="preserve">n</w:t>
      </w:r>
      <w:r>
        <w:rPr>
          <w:rFonts w:ascii="Palatino Linotype" w:hAnsi="Palatino Linotype"/>
        </w:rPr>
        <w:t xml:space="preserve"> </w:t>
      </w:r>
      <w:r>
        <w:rPr>
          <w:rFonts w:ascii="Palatino Linotype" w:hAnsi="Palatino Linotype"/>
        </w:rPr>
        <w:t xml:space="preserve">Partner</w:t>
      </w:r>
      <w:r>
        <w:rPr>
          <w:rFonts w:ascii="Palatino Linotype" w:hAnsi="Palatino Linotype"/>
        </w:rPr>
        <w:t xml:space="preserve">:in</w:t>
      </w:r>
      <w:r>
        <w:rPr>
          <w:rFonts w:ascii="Palatino Linotype" w:hAnsi="Palatino Linotype"/>
        </w:rPr>
        <w:t xml:space="preserve"> zusammen und hört euch auch deren Zusammenfassung an.</w:t>
      </w:r>
      <w:r/>
    </w:p>
    <w:p>
      <w:pPr>
        <w:pStyle w:val="838"/>
        <w:ind w:left="567" w:hanging="567"/>
        <w:jc w:val="both"/>
        <w:spacing w:after="144"/>
        <w:tabs>
          <w:tab w:val="left" w:pos="845" w:leader="none"/>
        </w:tabs>
        <w:rPr>
          <w:rFonts w:ascii="Palatino Linotype" w:hAnsi="Palatino Linotype"/>
        </w:rPr>
      </w:pPr>
      <w:r>
        <w:rPr>
          <w:rFonts w:ascii="Palatino Linotype" w:hAnsi="Palatino Linotype"/>
        </w:rPr>
        <w:t xml:space="preserve">4</w:t>
      </w:r>
      <w:r>
        <w:rPr>
          <w:rFonts w:ascii="Palatino Linotype" w:hAnsi="Palatino Linotype"/>
        </w:rPr>
        <w:t xml:space="preserve">c</w:t>
      </w:r>
      <w:r>
        <w:rPr>
          <w:rFonts w:ascii="Palatino Linotype" w:hAnsi="Palatino Linotype"/>
        </w:rPr>
        <w:t xml:space="preserve">)</w:t>
      </w:r>
      <w:r>
        <w:rPr>
          <w:rFonts w:ascii="Palatino Linotype" w:hAnsi="Palatino Linotype"/>
        </w:rPr>
        <w:tab/>
        <w:t xml:space="preserve">Diskutiert, wie ihr den Sachverhalt aus dem Artikel vor dem Hintergrund des Porajmos und der Behandlung von Sinti und Roma nach 1945 bewerte</w:t>
      </w:r>
      <w:r>
        <w:rPr>
          <w:rFonts w:ascii="Palatino Linotype" w:hAnsi="Palatino Linotype"/>
        </w:rPr>
        <w:t xml:space="preserve">t</w:t>
      </w:r>
      <w:r>
        <w:rPr>
          <w:rFonts w:ascii="Palatino Linotype" w:hAnsi="Palatino Linotype"/>
        </w:rPr>
        <w:t xml:space="preserve">.</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pPr>
      <w:r>
        <w:rPr>
          <w:rFonts w:ascii="Palatino Linotype" w:hAnsi="Palatino Linotype" w:eastAsia="Arial Narrow" w:cs="Arial Narrow"/>
          <w:b/>
          <w:bCs/>
          <w:color w:val="0b474c"/>
          <w:sz w:val="22"/>
          <w:szCs w:val="22"/>
          <w:lang w:eastAsia="de-DE" w:bidi="de-DE"/>
        </w:rPr>
        <w:t xml:space="preserve">Die Aufarbeitung des Porajmos hat trotz zahlreicher Rückschritte auch Erfolge </w:t>
      </w:r>
      <w:r>
        <w:rPr>
          <w:rFonts w:ascii="Palatino Linotype" w:hAnsi="Palatino Linotype" w:eastAsia="Arial Narrow" w:cs="Arial Narrow"/>
          <w:b/>
          <w:bCs/>
          <w:color w:val="0b474c"/>
          <w:sz w:val="22"/>
          <w:szCs w:val="22"/>
          <w:lang w:eastAsia="de-DE" w:bidi="de-DE"/>
        </w:rPr>
        <w:t xml:space="preserve">aufzuweisen</w:t>
      </w:r>
      <w:r>
        <w:rPr>
          <w:rFonts w:ascii="Palatino Linotype" w:hAnsi="Palatino Linotype" w:eastAsia="Arial Narrow" w:cs="Arial Narrow"/>
          <w:b/>
          <w:bCs/>
          <w:color w:val="0b474c"/>
          <w:sz w:val="22"/>
          <w:szCs w:val="22"/>
          <w:lang w:eastAsia="de-DE" w:bidi="de-DE"/>
        </w:rPr>
        <w:t xml:space="preserve">.</w:t>
      </w:r>
      <w:r/>
    </w:p>
    <w:p>
      <w:pPr>
        <w:pStyle w:val="838"/>
        <w:ind w:left="567" w:hanging="567"/>
        <w:jc w:val="both"/>
        <w:spacing w:after="144"/>
        <w:tabs>
          <w:tab w:val="left" w:pos="845" w:leader="none"/>
        </w:tabs>
        <w:rPr>
          <w:rFonts w:ascii="Palatino Linotype" w:hAnsi="Palatino Linotype"/>
        </w:rPr>
      </w:pPr>
      <w:r>
        <w:rPr>
          <w:rFonts w:ascii="Palatino Linotype" w:hAnsi="Palatino Linotype"/>
        </w:rPr>
        <w:t xml:space="preserve">5</w:t>
      </w:r>
      <w:r>
        <w:rPr>
          <w:rFonts w:ascii="Palatino Linotype" w:hAnsi="Palatino Linotype"/>
        </w:rPr>
        <w:t xml:space="preserve">a)</w:t>
      </w:r>
      <w:r>
        <w:rPr>
          <w:rFonts w:ascii="Palatino Linotype" w:hAnsi="Palatino Linotype"/>
        </w:rPr>
        <w:t xml:space="preserve"> </w:t>
      </w:r>
      <w:r>
        <w:rPr>
          <w:rFonts w:ascii="Palatino Linotype" w:hAnsi="Palatino Linotype"/>
        </w:rPr>
        <w:tab/>
      </w:r>
      <w:r>
        <w:rPr>
          <w:rFonts w:ascii="Palatino Linotype" w:hAnsi="Palatino Linotype"/>
        </w:rPr>
        <w:t xml:space="preserve">Diskutiert in der Klasse, wie ihr den Umgang mit dem historischen Erbe des Porajmos insgesamt bewertet. Notiert </w:t>
      </w:r>
      <w:r>
        <w:rPr>
          <w:rFonts w:ascii="Palatino Linotype" w:hAnsi="Palatino Linotype"/>
        </w:rPr>
        <w:t xml:space="preserve">wichtige Argumente und Urteile an der Tafel.</w:t>
      </w:r>
      <w:r/>
    </w:p>
    <w:p>
      <w:pPr>
        <w:pStyle w:val="838"/>
        <w:ind w:left="567" w:hanging="567"/>
        <w:jc w:val="both"/>
        <w:spacing w:after="144"/>
        <w:tabs>
          <w:tab w:val="left" w:pos="845" w:leader="none"/>
        </w:tabs>
        <w:rPr>
          <w:rFonts w:ascii="Palatino Linotype" w:hAnsi="Palatino Linotype"/>
        </w:rPr>
      </w:pPr>
      <w:r>
        <w:rPr>
          <w:rFonts w:ascii="Palatino Linotype" w:hAnsi="Palatino Linotype"/>
        </w:rPr>
        <mc:AlternateContent>
          <mc:Choice Requires="wpg">
            <w:drawing>
              <wp:anchor xmlns:wp="http://schemas.openxmlformats.org/drawingml/2006/wordprocessingDrawing" xmlns:wp14="http://schemas.microsoft.com/office/word/2010/wordprocessingDrawing" distT="0" distB="0" distL="114300" distR="114300" simplePos="0" relativeHeight="251670528"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3" name="Rechteck 3"/>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2" o:spid="_x0000_s2" o:spt="1" type="#_x0000_t1" style="position:absolute;z-index:251670528;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rPr>
        <w:t xml:space="preserve">5b)</w:t>
      </w:r>
      <w:r>
        <w:rPr>
          <w:rFonts w:ascii="Palatino Linotype" w:hAnsi="Palatino Linotype"/>
        </w:rPr>
        <w:tab/>
        <w:t xml:space="preserve">Diskutiert, welche Maßnahmen und Fortschritte aus eurer Sicht weiterhin nötig sind.</w:t>
      </w:r>
      <w:r/>
    </w:p>
    <w:p>
      <w:pPr>
        <w:pStyle w:val="838"/>
        <w:ind w:left="567" w:hanging="567"/>
        <w:jc w:val="both"/>
        <w:tabs>
          <w:tab w:val="left" w:pos="845" w:leader="none"/>
        </w:tabs>
        <w:rPr>
          <w:rFonts w:ascii="Palatino Linotype" w:hAnsi="Palatino Linotype"/>
        </w:rPr>
      </w:pPr>
      <w:r>
        <w:rPr>
          <w:rFonts w:ascii="Palatino Linotype" w:hAnsi="Palatino Linotype"/>
        </w:rPr>
        <w:t xml:space="preserve">5c)</w:t>
      </w:r>
      <w:r>
        <w:rPr>
          <w:rFonts w:ascii="Palatino Linotype" w:hAnsi="Palatino Linotype"/>
        </w:rPr>
        <w:tab/>
        <w:t xml:space="preserve">Befragt die </w:t>
      </w:r>
      <w:r>
        <w:rPr>
          <w:rFonts w:ascii="Palatino Linotype" w:hAnsi="Palatino Linotype"/>
        </w:rPr>
        <w:t xml:space="preserve">interaktiven Biografien</w:t>
      </w:r>
      <w:r>
        <w:rPr>
          <w:rFonts w:ascii="Palatino Linotype" w:hAnsi="Palatino Linotype"/>
        </w:rPr>
        <w:t xml:space="preserve">, wie zufrieden sie mit den Maßnahmen und Fortschritten sind und was sie sich für die Zukunft noch wünschen würden</w:t>
      </w:r>
      <w:r>
        <w:rPr>
          <w:rFonts w:ascii="Palatino Linotype" w:hAnsi="Palatino Linotype"/>
        </w:rPr>
        <w:t xml:space="preserve">.</w:t>
      </w:r>
      <w:r/>
    </w:p>
    <w:p>
      <w:pPr>
        <w:pStyle w:val="838"/>
        <w:ind w:left="567"/>
        <w:jc w:val="both"/>
        <w:tabs>
          <w:tab w:val="left" w:pos="845" w:leader="none"/>
        </w:tabs>
        <w:rPr>
          <w:rFonts w:ascii="Palatino Linotype" w:hAnsi="Palatino Linotype"/>
          <w:i/>
          <w:iCs/>
        </w:rPr>
      </w:pPr>
      <w:r>
        <w:rPr>
          <w:rFonts w:ascii="Palatino Linotype" w:hAnsi="Palatino Linotype"/>
          <w:i/>
          <w:iCs/>
        </w:rPr>
        <w:t xml:space="preserve">Hinweis: Beispielfragen sind unter M6 zu finden</w:t>
      </w:r>
      <w:r>
        <w:rPr>
          <w:rFonts w:ascii="Palatino Linotype" w:hAnsi="Palatino Linotype"/>
          <w:i/>
          <w:iCs/>
        </w:rPr>
        <w:t xml:space="preserve">.</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pPr>
      <w:r>
        <w:rPr>
          <w:rFonts w:ascii="Palatino Linotype" w:hAnsi="Palatino Linotype" w:eastAsia="Arial Narrow" w:cs="Arial Narrow"/>
          <w:b/>
          <w:bCs/>
          <w:color w:val="0b474c"/>
          <w:sz w:val="22"/>
          <w:szCs w:val="22"/>
          <w:lang w:eastAsia="de-DE" w:bidi="de-DE"/>
        </w:rPr>
        <w:t xml:space="preserve">Die Geschichte des Porajmos und seines Erbes ist komplex.</w:t>
      </w:r>
      <w:r/>
    </w:p>
    <w:p>
      <w:pPr>
        <w:pStyle w:val="838"/>
        <w:ind w:left="567" w:hanging="567"/>
        <w:jc w:val="both"/>
        <w:tabs>
          <w:tab w:val="left" w:pos="845" w:leader="none"/>
        </w:tabs>
        <w:rPr>
          <w:rFonts w:ascii="Palatino Linotype" w:hAnsi="Palatino Linotype"/>
        </w:rPr>
      </w:pPr>
      <w:r>
        <w:rPr>
          <w:rFonts w:ascii="Palatino Linotype" w:hAnsi="Palatino Linotype"/>
        </w:rPr>
        <w:t xml:space="preserve">6)</w:t>
      </w:r>
      <w:r>
        <w:rPr>
          <w:rFonts w:ascii="Palatino Linotype" w:hAnsi="Palatino Linotype"/>
        </w:rPr>
        <w:tab/>
        <w:t xml:space="preserve">Notiert euch, welche Informationen und Gedanken ihr </w:t>
      </w:r>
      <w:r>
        <w:rPr>
          <w:rFonts w:ascii="Palatino Linotype" w:hAnsi="Palatino Linotype"/>
        </w:rPr>
        <w:t xml:space="preserve">aus der Beschäftigung mit den interaktiven Biografien mitnehmt</w:t>
      </w:r>
      <w:r>
        <w:rPr>
          <w:rFonts w:ascii="Palatino Linotype" w:hAnsi="Palatino Linotype"/>
        </w:rPr>
        <w:t xml:space="preserve">. Überlegt dabei auch, welche Fragen für euch dabei vielleicht noch offengeblieben sind. Diskutiert ggf. gemeinsam mit eurer Lehrkraft, wie ihr auf diese Fragen Antworten finden könntet</w:t>
      </w:r>
      <w:r>
        <w:rPr>
          <w:rFonts w:ascii="Palatino Linotype" w:hAnsi="Palatino Linotype"/>
        </w:rPr>
        <w:t xml:space="preserve">.</w:t>
      </w:r>
      <w:r/>
    </w:p>
    <w:p>
      <w:pPr>
        <w:jc w:val="both"/>
        <w:sectPr>
          <w:footerReference w:type="default" r:id="rId12"/>
          <w:footnotePr/>
          <w:endnotePr/>
          <w:type w:val="nextPage"/>
          <w:pgSz w:w="11906" w:h="16838" w:orient="portrait"/>
          <w:pgMar w:top="1417" w:right="1417" w:bottom="1134" w:left="1417" w:header="708" w:footer="708" w:gutter="0"/>
          <w:cols w:num="1" w:sep="0" w:space="708" w:equalWidth="1"/>
          <w:docGrid w:linePitch="360"/>
        </w:sectPr>
      </w:pPr>
      <w:r/>
      <w:r/>
    </w:p>
    <w:p>
      <w:pPr>
        <w:pStyle w:val="814"/>
        <w:ind w:left="0" w:right="0"/>
        <w:spacing w:before="0"/>
        <w:rPr>
          <w:rFonts w:ascii="Palatino Linotype" w:hAnsi="Palatino Linotype"/>
          <w:b/>
          <w:bCs/>
          <w:color w:val="0b474c"/>
          <w:spacing w:val="-22"/>
          <w:sz w:val="24"/>
          <w:szCs w:val="24"/>
        </w:rPr>
        <w:suppressLineNumbers/>
      </w:pPr>
      <w:r>
        <w:rPr>
          <w:rFonts w:ascii="Palatino Linotype" w:hAnsi="Palatino Linotype"/>
          <w:b/>
          <w:bCs/>
          <w:color w:val="0b474c"/>
          <w:spacing w:val="-22"/>
          <w:sz w:val="24"/>
          <w:szCs w:val="24"/>
        </w:rPr>
        <w:t xml:space="preserve">M1: Die Personen im Portrait</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Alexander Diepold</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59264" behindDoc="0" locked="0" layoutInCell="1" allowOverlap="1">
                <wp:simplePos x="0" y="0"/>
                <wp:positionH relativeFrom="margin">
                  <wp:posOffset>3446145</wp:posOffset>
                </wp:positionH>
                <wp:positionV relativeFrom="margin">
                  <wp:posOffset>598009</wp:posOffset>
                </wp:positionV>
                <wp:extent cx="2266950" cy="2600325"/>
                <wp:effectExtent l="0" t="0" r="0" b="9525"/>
                <wp:wrapSquare wrapText="bothSides"/>
                <wp:docPr id="4" name="Bild 31" descr="Ein Bild, das Person, Boden, Anzug, Si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d 31" descr="Ein Bild, das Person, Boden, Anzug, Sitz enthält.&#10;&#10;Automatisch generierte Beschreibung"/>
                        <pic:cNvPicPr>
                          <a:picLocks noChangeAspect="1"/>
                        </pic:cNvPicPr>
                        <pic:nvPr/>
                      </pic:nvPicPr>
                      <pic:blipFill>
                        <a:blip r:embed="rId18"/>
                        <a:stretch/>
                      </pic:blipFill>
                      <pic:spPr bwMode="auto">
                        <a:xfrm>
                          <a:off x="0" y="0"/>
                          <a:ext cx="2266950" cy="26003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z-index:251659264;o:allowoverlap:true;o:allowincell:true;mso-position-horizontal-relative:margin;margin-left:271.3pt;mso-position-horizontal:absolute;mso-position-vertical-relative:margin;margin-top:47.1pt;mso-position-vertical:absolute;width:178.5pt;height:204.8pt;mso-wrap-distance-left:9.0pt;mso-wrap-distance-top:0.0pt;mso-wrap-distance-right:9.0pt;mso-wrap-distance-bottom:0.0pt;" stroked="f">
                <v:path textboxrect="0,0,0,0"/>
                <w10:wrap type="square"/>
                <v:imagedata r:id="rId18" o:title=""/>
              </v:shape>
            </w:pict>
          </mc:Fallback>
        </mc:AlternateContent>
      </w:r>
      <w:r>
        <w:rPr>
          <w:rFonts w:ascii="Palatino Linotype" w:hAnsi="Palatino Linotype" w:eastAsia="Calibri" w:cs="Calibri"/>
          <w:sz w:val="20"/>
          <w:szCs w:val="20"/>
          <w:lang w:eastAsia="de-DE" w:bidi="de-DE"/>
        </w:rPr>
        <w:t xml:space="preserve">Geboren 1962 in Augsburg, hatte Alexander Diepold keinen leichten Start ins Leben. Bei einem Suizidversuch seiner Mutter wurde er auf der Straße als Zangengeburt zur Welt gebracht. Seine Kindheit und Jugendzeit verbrachte er </w:t>
      </w:r>
      <w:r>
        <w:rPr>
          <w:rFonts w:ascii="Palatino Linotype" w:hAnsi="Palatino Linotype" w:eastAsia="Calibri" w:cs="Calibri"/>
          <w:sz w:val="20"/>
          <w:szCs w:val="20"/>
          <w:lang w:eastAsia="de-DE" w:bidi="de-DE"/>
        </w:rPr>
        <w:t xml:space="preserve">großteils</w:t>
      </w:r>
      <w:r>
        <w:rPr>
          <w:rFonts w:ascii="Palatino Linotype" w:hAnsi="Palatino Linotype" w:eastAsia="Calibri" w:cs="Calibri"/>
          <w:sz w:val="20"/>
          <w:szCs w:val="20"/>
          <w:lang w:eastAsia="de-DE" w:bidi="de-DE"/>
        </w:rPr>
        <w:t xml:space="preserve"> i</w:t>
      </w:r>
      <w:r>
        <w:rPr>
          <w:rFonts w:ascii="Palatino Linotype" w:hAnsi="Palatino Linotype" w:eastAsia="Calibri" w:cs="Calibri"/>
          <w:sz w:val="20"/>
          <w:szCs w:val="20"/>
          <w:lang w:eastAsia="de-DE" w:bidi="de-DE"/>
        </w:rPr>
        <w:t xml:space="preserve">n verschiedenen Heimen, was seine Einstellungen und Werte nachhaltig prägte. Nachdem er seinen anfänglichen Wunsch, Priester zu werden, verworfen hatte, entschied er sich mit 17 selbst für eine Karriere als Sozialpädagoge. Mit Unterstützung der Bayerischen</w:t>
      </w:r>
      <w:r>
        <w:rPr>
          <w:rFonts w:ascii="Palatino Linotype" w:hAnsi="Palatino Linotype" w:eastAsia="Calibri" w:cs="Calibri"/>
          <w:sz w:val="20"/>
          <w:szCs w:val="20"/>
          <w:lang w:eastAsia="de-DE" w:bidi="de-DE"/>
        </w:rPr>
        <w:t xml:space="preserve"> Regierung wohnte er dabei unter anderem in einer Wohngruppe mit schwer verhaltensauffälligen Jugendlichen zusammen und unterstützte diese erfolgreich in Ihrer Entwicklung. 1987 bekam dieses Projekt, auf Initiative der Jugendlichen, den offiziellen Namen “</w:t>
      </w:r>
      <w:r>
        <w:rPr>
          <w:rFonts w:ascii="Palatino Linotype" w:hAnsi="Palatino Linotype" w:eastAsia="Calibri" w:cs="Calibri"/>
          <w:sz w:val="20"/>
          <w:szCs w:val="20"/>
          <w:lang w:eastAsia="de-DE" w:bidi="de-DE"/>
        </w:rPr>
        <w:t xml:space="preserve">Madhouse</w:t>
      </w:r>
      <w:r>
        <w:rPr>
          <w:rFonts w:ascii="Palatino Linotype" w:hAnsi="Palatino Linotype" w:eastAsia="Calibri" w:cs="Calibri"/>
          <w:sz w:val="20"/>
          <w:szCs w:val="20"/>
          <w:lang w:eastAsia="de-DE" w:bidi="de-DE"/>
        </w:rPr>
        <w:t xml:space="preserve">”. Nachdem Alexander Diepold im Rahmen seiner Arbeit einen besonderen Draht zu Menschen aus der Minderheit der Sinti und Roma bemerkte, erfuhr er Ende der 1990er Jahre selbst von seiner Herkunft als Sinto. Seit 2002 ist </w:t>
      </w:r>
      <w:r>
        <w:rPr>
          <w:rFonts w:ascii="Palatino Linotype" w:hAnsi="Palatino Linotype" w:eastAsia="Calibri" w:cs="Calibri"/>
          <w:sz w:val="20"/>
          <w:szCs w:val="20"/>
          <w:lang w:eastAsia="de-DE" w:bidi="de-DE"/>
        </w:rPr>
        <w:t xml:space="preserve">Madhouse</w:t>
      </w:r>
      <w:r>
        <w:rPr>
          <w:rFonts w:ascii="Palatino Linotype" w:hAnsi="Palatino Linotype" w:eastAsia="Calibri" w:cs="Calibri"/>
          <w:sz w:val="20"/>
          <w:szCs w:val="20"/>
          <w:lang w:eastAsia="de-DE" w:bidi="de-DE"/>
        </w:rPr>
        <w:t xml:space="preserve"> als gemeinnützige GmbH eine zentrale Anlaufstelle der Ambulanten Erziehungshilfe für den Raum München und kümme</w:t>
      </w:r>
      <w:r>
        <w:rPr>
          <w:rFonts w:ascii="Palatino Linotype" w:hAnsi="Palatino Linotype" w:eastAsia="Calibri" w:cs="Calibri"/>
          <w:sz w:val="20"/>
          <w:szCs w:val="20"/>
          <w:lang w:eastAsia="de-DE" w:bidi="de-DE"/>
        </w:rPr>
        <w:t xml:space="preserve">rt sich daneben mit einem besonderen Schwerpunkt um die Probleme und Belange von Sinti und Roma. Sein großer Wunsch für die Zukunft besteht in der Schaffung eines gemeinsamen Begegnungsortes für Menschen aus der Gruppe der Sinti und Roma und Außenstehende.</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Ramona Sendlinger</w:t>
      </w:r>
      <w:r/>
    </w:p>
    <w:p>
      <w:pPr>
        <w:jc w:val="both"/>
        <w:rPr>
          <w:rFonts w:ascii="Palatino Linotype" w:hAnsi="Palatino Linotype" w:eastAsia="Calibri" w:cs="Calibri"/>
          <w:sz w:val="20"/>
          <w:szCs w:val="20"/>
          <w:lang w:eastAsia="de-DE" w:bidi="de-DE"/>
        </w:rPr>
        <w:sectPr>
          <w:headerReference w:type="default" r:id="rId9"/>
          <w:headerReference w:type="even" r:id="rId10"/>
          <w:headerReference w:type="first" r:id="rId11"/>
          <w:footerReference w:type="default" r:id="rId13"/>
          <w:footerReference w:type="even" r:id="rId14"/>
          <w:footerReference w:type="first" r:id="rId15"/>
          <w:footnotePr/>
          <w:endnotePr/>
          <w:type w:val="nextPage"/>
          <w:pgSz w:w="11906" w:h="16838" w:orient="portrait"/>
          <w:pgMar w:top="1418" w:right="1418" w:bottom="1134" w:left="1418" w:header="709" w:footer="709" w:gutter="0"/>
          <w:lnNumType w:countBy="5"/>
          <w:cols w:num="1" w:sep="0" w:space="708" w:equalWidth="1"/>
          <w:docGrid w:linePitch="360"/>
        </w:sect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71552"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5" name="Rechteck 4"/>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4" o:spid="_x0000_s4" o:spt="1" type="#_x0000_t1" style="position:absolute;z-index:251671552;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0288" behindDoc="0" locked="0" layoutInCell="1" allowOverlap="1">
                <wp:simplePos x="0" y="0"/>
                <wp:positionH relativeFrom="margin">
                  <wp:posOffset>3522345</wp:posOffset>
                </wp:positionH>
                <wp:positionV relativeFrom="margin">
                  <wp:posOffset>4745355</wp:posOffset>
                </wp:positionV>
                <wp:extent cx="2247900" cy="2600325"/>
                <wp:effectExtent l="0" t="0" r="0" b="9525"/>
                <wp:wrapSquare wrapText="bothSides"/>
                <wp:docPr id="6" name="Bild 32" descr="Ein Bild, das Möbel, Sitz, Stu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 32" descr="Ein Bild, das Möbel, Sitz, Stuhl enthält.&#10;&#10;Automatisch generierte Beschreibung"/>
                        <pic:cNvPicPr>
                          <a:picLocks noChangeAspect="1"/>
                        </pic:cNvPicPr>
                        <pic:nvPr/>
                      </pic:nvPicPr>
                      <pic:blipFill>
                        <a:blip r:embed="rId19"/>
                        <a:stretch/>
                      </pic:blipFill>
                      <pic:spPr bwMode="auto">
                        <a:xfrm>
                          <a:off x="0" y="0"/>
                          <a:ext cx="2247900" cy="26003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position:absolute;z-index:251660288;o:allowoverlap:true;o:allowincell:true;mso-position-horizontal-relative:margin;margin-left:277.3pt;mso-position-horizontal:absolute;mso-position-vertical-relative:margin;margin-top:373.6pt;mso-position-vertical:absolute;width:177.0pt;height:204.8pt;mso-wrap-distance-left:9.0pt;mso-wrap-distance-top:0.0pt;mso-wrap-distance-right:9.0pt;mso-wrap-distance-bottom:0.0pt;" stroked="f">
                <v:path textboxrect="0,0,0,0"/>
                <w10:wrap type="square"/>
                <v:imagedata r:id="rId19" o:title=""/>
              </v:shape>
            </w:pict>
          </mc:Fallback>
        </mc:AlternateContent>
      </w:r>
      <w:r>
        <w:rPr>
          <w:rFonts w:ascii="Palatino Linotype" w:hAnsi="Palatino Linotype" w:eastAsia="Calibri" w:cs="Calibri"/>
          <w:sz w:val="20"/>
          <w:szCs w:val="20"/>
          <w:lang w:eastAsia="de-DE" w:bidi="de-DE"/>
        </w:rPr>
        <w:t xml:space="preserve">Geboren 1951 in Augsburg, war Ramona Sendlingers Kindheit schon früh durch Ausgrenzung und Benachteiligung geprägt. Durch den Wide</w:t>
      </w:r>
      <w:r>
        <w:rPr>
          <w:rFonts w:ascii="Palatino Linotype" w:hAnsi="Palatino Linotype" w:eastAsia="Calibri" w:cs="Calibri"/>
          <w:sz w:val="20"/>
          <w:szCs w:val="20"/>
          <w:lang w:eastAsia="de-DE" w:bidi="de-DE"/>
        </w:rPr>
        <w:t xml:space="preserve">rstand anderer Eltern wurde ihr und den übrigen Geschwistern der Schulbesuch untersagt. Das Lesen und Schreiben musste sie sich mühevoll durch Unterstützung ihres Mannes selbst beibringen. Gleichzeitig hat sich das Trauma der NS-Verfolgungen, denen zahlrei</w:t>
      </w:r>
      <w:r>
        <w:rPr>
          <w:rFonts w:ascii="Palatino Linotype" w:hAnsi="Palatino Linotype" w:eastAsia="Calibri" w:cs="Calibri"/>
          <w:sz w:val="20"/>
          <w:szCs w:val="20"/>
          <w:lang w:eastAsia="de-DE" w:bidi="de-DE"/>
        </w:rPr>
        <w:t xml:space="preserve">che Familienmitglieder Sendlingers zum Opfer fielen, auch stark auf ihre eigene Psyche übertragen: „Der Holocaust war mein Begleiter solange ich denken kann. Auschwitz war wie ein Teil von mir.“ Neben zahlreichen Wohnortswechseln musste sie zudem ihre drei</w:t>
      </w:r>
      <w:r>
        <w:rPr>
          <w:rFonts w:ascii="Palatino Linotype" w:hAnsi="Palatino Linotype" w:eastAsia="Calibri" w:cs="Calibri"/>
          <w:sz w:val="20"/>
          <w:szCs w:val="20"/>
          <w:lang w:eastAsia="de-DE" w:bidi="de-DE"/>
        </w:rPr>
        <w:t xml:space="preserve"> Kinder allein großziehen, nachdem sie ihr früherer Mann ihrer Ersparnisse beraubt und allein gelassen hatte. Heute setzt sich Ramona Sendlinger, auch mit der Unterstützung ihres jetzigen Mannes, für die Erinnerungskultur und gegen das Verbrechen an die na</w:t>
      </w:r>
      <w:r>
        <w:rPr>
          <w:rFonts w:ascii="Palatino Linotype" w:hAnsi="Palatino Linotype" w:eastAsia="Calibri" w:cs="Calibri"/>
          <w:sz w:val="20"/>
          <w:szCs w:val="20"/>
          <w:lang w:eastAsia="de-DE" w:bidi="de-DE"/>
        </w:rPr>
        <w:t xml:space="preserve">tionalsozialistischen Verbrechen ein: „Ich will nicht das sowas wieder passiert. Deshalb will ich auch an die jungen Leute ran. Das ist die nächste Generation. Die sollen ruhig wissen was passiert ist, auch die Einzelheiten. Man muss nichts verheimlichen.”</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Bobby </w:t>
      </w:r>
      <w:r>
        <w:rPr>
          <w:rFonts w:ascii="Palatino Linotype" w:hAnsi="Palatino Linotype" w:eastAsia="Arial Narrow" w:cs="Arial Narrow"/>
          <w:b/>
          <w:bCs/>
          <w:color w:val="0b474c"/>
          <w:sz w:val="22"/>
          <w:szCs w:val="22"/>
          <w:lang w:eastAsia="de-DE" w:bidi="de-DE"/>
        </w:rPr>
        <w:t xml:space="preserve">Falta</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1312" behindDoc="0" locked="0" layoutInCell="1" allowOverlap="1">
                <wp:simplePos x="0" y="0"/>
                <wp:positionH relativeFrom="margin">
                  <wp:posOffset>3514725</wp:posOffset>
                </wp:positionH>
                <wp:positionV relativeFrom="margin">
                  <wp:posOffset>403225</wp:posOffset>
                </wp:positionV>
                <wp:extent cx="2247900" cy="2475865"/>
                <wp:effectExtent l="0" t="0" r="0" b="635"/>
                <wp:wrapSquare wrapText="bothSides"/>
                <wp:docPr id="7" name="Bild 33" descr="Ein Bild, das Person, Mann, Anz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d 33" descr="Ein Bild, das Person, Mann, Anzug enthält.&#10;&#10;Automatisch generierte Beschreibung"/>
                        <pic:cNvPicPr>
                          <a:picLocks noChangeAspect="1"/>
                        </pic:cNvPicPr>
                        <pic:nvPr/>
                      </pic:nvPicPr>
                      <pic:blipFill>
                        <a:blip r:embed="rId20"/>
                        <a:srcRect l="0" t="1892" r="0" b="0"/>
                        <a:stretch/>
                      </pic:blipFill>
                      <pic:spPr bwMode="auto">
                        <a:xfrm>
                          <a:off x="0" y="0"/>
                          <a:ext cx="2247900" cy="2475865"/>
                        </a:xfrm>
                        <a:prstGeom prst="rect">
                          <a:avLst/>
                        </a:prstGeom>
                        <a:noFill/>
                        <a:ln>
                          <a:noFill/>
                        </a:ln>
                      </pic:spPr>
                    </pic:pic>
                  </a:graphicData>
                </a:graphic>
                <wp14:sizeRelV relativeFrom="margin">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position:absolute;z-index:251661312;o:allowoverlap:true;o:allowincell:true;mso-position-horizontal-relative:margin;margin-left:276.8pt;mso-position-horizontal:absolute;mso-position-vertical-relative:margin;margin-top:31.8pt;mso-position-vertical:absolute;width:177.0pt;height:194.9pt;mso-wrap-distance-left:9.0pt;mso-wrap-distance-top:0.0pt;mso-wrap-distance-right:9.0pt;mso-wrap-distance-bottom:0.0pt;" stroked="f">
                <v:path textboxrect="0,0,0,0"/>
                <w10:wrap type="square"/>
                <v:imagedata r:id="rId20" o:title=""/>
              </v:shape>
            </w:pict>
          </mc:Fallback>
        </mc:AlternateContent>
      </w: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72576"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8" name="Rechteck 5"/>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7" o:spid="_x0000_s7" o:spt="1" type="#_x0000_t1" style="position:absolute;z-index:251672576;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Calibri" w:cs="Calibri"/>
          <w:sz w:val="20"/>
          <w:szCs w:val="20"/>
          <w:lang w:eastAsia="de-DE" w:bidi="de-DE"/>
        </w:rPr>
        <w:t xml:space="preserve">Geboren 1941 in Salzburg, waren die einzigen Konstanten Bobby </w:t>
      </w:r>
      <w:r>
        <w:rPr>
          <w:rFonts w:ascii="Palatino Linotype" w:hAnsi="Palatino Linotype" w:eastAsia="Calibri" w:cs="Calibri"/>
          <w:sz w:val="20"/>
          <w:szCs w:val="20"/>
          <w:lang w:eastAsia="de-DE" w:bidi="de-DE"/>
        </w:rPr>
        <w:t xml:space="preserve">Faltas</w:t>
      </w:r>
      <w:r>
        <w:rPr>
          <w:rFonts w:ascii="Palatino Linotype" w:hAnsi="Palatino Linotype" w:eastAsia="Calibri" w:cs="Calibri"/>
          <w:sz w:val="20"/>
          <w:szCs w:val="20"/>
          <w:lang w:eastAsia="de-DE" w:bidi="de-DE"/>
        </w:rPr>
        <w:t xml:space="preserve"> früher Kindheit Krieg, Verfolgung und Entbehrungen. Sein Vater, der teilweise jüdischer Herkunft war, und seine Mutter, eine </w:t>
      </w:r>
      <w:r>
        <w:rPr>
          <w:rFonts w:ascii="Palatino Linotype" w:hAnsi="Palatino Linotype" w:eastAsia="Calibri" w:cs="Calibri"/>
          <w:sz w:val="20"/>
          <w:szCs w:val="20"/>
          <w:lang w:eastAsia="de-DE" w:bidi="de-DE"/>
        </w:rPr>
        <w:t xml:space="preserve">Sintezza</w:t>
      </w:r>
      <w:r>
        <w:rPr>
          <w:rFonts w:ascii="Palatino Linotype" w:hAnsi="Palatino Linotype" w:eastAsia="Calibri" w:cs="Calibri"/>
          <w:sz w:val="20"/>
          <w:szCs w:val="20"/>
          <w:lang w:eastAsia="de-DE" w:bidi="de-DE"/>
        </w:rPr>
        <w:t xml:space="preserve">, entschieden sich dazu, ihn und sei</w:t>
      </w:r>
      <w:r>
        <w:rPr>
          <w:rFonts w:ascii="Palatino Linotype" w:hAnsi="Palatino Linotype" w:eastAsia="Calibri" w:cs="Calibri"/>
          <w:sz w:val="20"/>
          <w:szCs w:val="20"/>
          <w:lang w:eastAsia="de-DE" w:bidi="de-DE"/>
        </w:rPr>
        <w:t xml:space="preserve">nen Bruder bei Verwandten in Wien zu verstecken. Nach dem Tod des Vaters gelang es der Mutter 1945, die Kinder mithilfe eines Güterwagens zuerst in ein Lager nach Salzburg und letztlich nach Memmingen zu bringen. Die Familie lernte dabei schnell, dass die </w:t>
      </w:r>
      <w:r>
        <w:rPr>
          <w:rFonts w:ascii="Palatino Linotype" w:hAnsi="Palatino Linotype" w:eastAsia="Calibri" w:cs="Calibri"/>
          <w:sz w:val="20"/>
          <w:szCs w:val="20"/>
          <w:lang w:eastAsia="de-DE" w:bidi="de-DE"/>
        </w:rPr>
        <w:t xml:space="preserve">Diskriminierung mit dem Ende des Kriegs nicht aufgehört hatte. 1956 wurden die Mutter sowie Bobby und sein Bruder aufgrund ihrer österreichischen Staatsangehörigkeit aus Deutschland ausgewiesen. Eine Rückkehr wurde der Familie erst wieder gestattet, als di</w:t>
      </w:r>
      <w:r>
        <w:rPr>
          <w:rFonts w:ascii="Palatino Linotype" w:hAnsi="Palatino Linotype" w:eastAsia="Calibri" w:cs="Calibri"/>
          <w:sz w:val="20"/>
          <w:szCs w:val="20"/>
          <w:lang w:eastAsia="de-DE" w:bidi="de-DE"/>
        </w:rPr>
        <w:t xml:space="preserve">e Mutter 1958 einen Deutschen geheiratet hatte. Durch seinen Onkel lernte er, Gitarre zu spielen. Über eine lokale Bekanntschaft wurde er Teil einer Band und spielte im Laufe seiner Karriere in verschiedenen Gruppen, unter anderem mit dem berühmten Geiger </w:t>
      </w:r>
      <w:r>
        <w:rPr>
          <w:rFonts w:ascii="Palatino Linotype" w:hAnsi="Palatino Linotype" w:eastAsia="Calibri" w:cs="Calibri"/>
          <w:sz w:val="20"/>
          <w:szCs w:val="20"/>
          <w:lang w:eastAsia="de-DE" w:bidi="de-DE"/>
        </w:rPr>
        <w:t xml:space="preserve">Schnuckenack</w:t>
      </w:r>
      <w:r>
        <w:rPr>
          <w:rFonts w:ascii="Palatino Linotype" w:hAnsi="Palatino Linotype" w:eastAsia="Calibri" w:cs="Calibri"/>
          <w:sz w:val="20"/>
          <w:szCs w:val="20"/>
          <w:lang w:eastAsia="de-DE" w:bidi="de-DE"/>
        </w:rPr>
        <w:t xml:space="preserve"> Reinhardt, auf nationalen und internationalen Bühnen. Auch hier blieb er von Rassismus nicht immer verschont: „Bei einer Fernsehproduktion kam einmal ein Aufnahmeleiter auf mich zu, dem ich nicht genug nach ‘Zigeuner’</w:t>
      </w:r>
      <w:r>
        <w:rPr>
          <w:rFonts w:ascii="Palatino Linotype" w:hAnsi="Palatino Linotype" w:eastAsia="Calibri"/>
          <w:sz w:val="20"/>
          <w:szCs w:val="20"/>
          <w:vertAlign w:val="superscript"/>
          <w:lang w:bidi="de-DE"/>
        </w:rPr>
        <w:footnoteReference w:id="2"/>
      </w:r>
      <w:r>
        <w:rPr>
          <w:rFonts w:ascii="Palatino Linotype" w:hAnsi="Palatino Linotype" w:eastAsia="Calibri" w:cs="Calibri"/>
          <w:sz w:val="20"/>
          <w:szCs w:val="20"/>
          <w:lang w:eastAsia="de-DE" w:bidi="de-DE"/>
        </w:rPr>
        <w:t xml:space="preserve"> aussah. Dann haben die mir einen falschen Schnurrbart aufgemalt und dunkel geschminkt.” Auch heute ist Bobby </w:t>
      </w:r>
      <w:r>
        <w:rPr>
          <w:rFonts w:ascii="Palatino Linotype" w:hAnsi="Palatino Linotype" w:eastAsia="Calibri" w:cs="Calibri"/>
          <w:sz w:val="20"/>
          <w:szCs w:val="20"/>
          <w:lang w:eastAsia="de-DE" w:bidi="de-DE"/>
        </w:rPr>
        <w:t xml:space="preserve">Falta</w:t>
      </w:r>
      <w:r>
        <w:rPr>
          <w:rFonts w:ascii="Palatino Linotype" w:hAnsi="Palatino Linotype" w:eastAsia="Calibri" w:cs="Calibri"/>
          <w:sz w:val="20"/>
          <w:szCs w:val="20"/>
          <w:lang w:eastAsia="de-DE" w:bidi="de-DE"/>
        </w:rPr>
        <w:t xml:space="preserve"> noch als Musiker aktiv. Dabei tritt er insbesondere im Duo mit seinem Sohn Lancy auf, der ebenfalls als Gitarrist in die Fußstapfen seines Vaters getreten ist.</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Rosita </w:t>
      </w:r>
      <w:r>
        <w:rPr>
          <w:rFonts w:ascii="Palatino Linotype" w:hAnsi="Palatino Linotype" w:eastAsia="Arial Narrow" w:cs="Arial Narrow"/>
          <w:b/>
          <w:bCs/>
          <w:color w:val="0b474c"/>
          <w:sz w:val="22"/>
          <w:szCs w:val="22"/>
          <w:lang w:eastAsia="de-DE" w:bidi="de-DE"/>
        </w:rPr>
        <w:t xml:space="preserve">Broschinski</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2336" behindDoc="0" locked="0" layoutInCell="1" allowOverlap="1">
                <wp:simplePos x="0" y="0"/>
                <wp:positionH relativeFrom="margin">
                  <wp:posOffset>3518535</wp:posOffset>
                </wp:positionH>
                <wp:positionV relativeFrom="margin">
                  <wp:posOffset>4548505</wp:posOffset>
                </wp:positionV>
                <wp:extent cx="2233295" cy="2583815"/>
                <wp:effectExtent l="0" t="0" r="0" b="6985"/>
                <wp:wrapSquare wrapText="bothSides"/>
                <wp:docPr id="9" name="Bild 34" descr="Ein Bild, das Si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Bild 34" descr="Ein Bild, das Sitz enthält.&#10;&#10;Automatisch generierte Beschreibung"/>
                        <pic:cNvPicPr>
                          <a:picLocks noChangeAspect="1"/>
                        </pic:cNvPicPr>
                        <pic:nvPr/>
                      </pic:nvPicPr>
                      <pic:blipFill>
                        <a:blip r:embed="rId21"/>
                        <a:stretch/>
                      </pic:blipFill>
                      <pic:spPr bwMode="auto">
                        <a:xfrm>
                          <a:off x="0" y="0"/>
                          <a:ext cx="2233295" cy="2583815"/>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position:absolute;z-index:251662336;o:allowoverlap:true;o:allowincell:true;mso-position-horizontal-relative:margin;margin-left:277.1pt;mso-position-horizontal:absolute;mso-position-vertical-relative:margin;margin-top:358.1pt;mso-position-vertical:absolute;width:175.8pt;height:203.4pt;mso-wrap-distance-left:9.0pt;mso-wrap-distance-top:0.0pt;mso-wrap-distance-right:9.0pt;mso-wrap-distance-bottom:0.0pt;" stroked="f">
                <v:path textboxrect="0,0,0,0"/>
                <w10:wrap type="square"/>
                <v:imagedata r:id="rId21" o:title=""/>
              </v:shape>
            </w:pict>
          </mc:Fallback>
        </mc:AlternateContent>
      </w:r>
      <w:r>
        <w:rPr>
          <w:rFonts w:ascii="Palatino Linotype" w:hAnsi="Palatino Linotype" w:eastAsia="Calibri" w:cs="Calibri"/>
          <w:sz w:val="20"/>
          <w:szCs w:val="20"/>
          <w:lang w:eastAsia="de-DE" w:bidi="de-DE"/>
        </w:rPr>
        <w:t xml:space="preserve">Geboren 1954 in München, hatte Rosita </w:t>
      </w:r>
      <w:r>
        <w:rPr>
          <w:rFonts w:ascii="Palatino Linotype" w:hAnsi="Palatino Linotype" w:eastAsia="Calibri" w:cs="Calibri"/>
          <w:sz w:val="20"/>
          <w:szCs w:val="20"/>
          <w:lang w:eastAsia="de-DE" w:bidi="de-DE"/>
        </w:rPr>
        <w:t xml:space="preserve">Broschinski</w:t>
      </w:r>
      <w:r>
        <w:rPr>
          <w:rFonts w:ascii="Palatino Linotype" w:hAnsi="Palatino Linotype" w:eastAsia="Calibri" w:cs="Calibri"/>
          <w:sz w:val="20"/>
          <w:szCs w:val="20"/>
          <w:lang w:eastAsia="de-DE" w:bidi="de-DE"/>
        </w:rPr>
        <w:t xml:space="preserve"> als ältestes von sechs Geschwistern eine vergleichsweise s</w:t>
      </w:r>
      <w:r>
        <w:rPr>
          <w:rFonts w:ascii="Palatino Linotype" w:hAnsi="Palatino Linotype" w:eastAsia="Calibri" w:cs="Calibri"/>
          <w:sz w:val="20"/>
          <w:szCs w:val="20"/>
          <w:lang w:eastAsia="de-DE" w:bidi="de-DE"/>
        </w:rPr>
        <w:t xml:space="preserve">chöne Kindheit. Die ersten Jahre lebte die Familie auf einem Lagerplatz am Rande der Stadt, von wo sie nach dessen Auflösung 1963 erstmals in ein Haus umzog. Die Eltern legten dabei viel Wert auf die Ausbildung ihrer Tochter. In der Schule blieb aber auch </w:t>
      </w:r>
      <w:r>
        <w:rPr>
          <w:rFonts w:ascii="Palatino Linotype" w:hAnsi="Palatino Linotype" w:eastAsia="Calibri" w:cs="Calibri"/>
          <w:sz w:val="20"/>
          <w:szCs w:val="20"/>
          <w:lang w:eastAsia="de-DE" w:bidi="de-DE"/>
        </w:rPr>
        <w:t xml:space="preserve">Broschinski</w:t>
      </w:r>
      <w:r>
        <w:rPr>
          <w:rFonts w:ascii="Palatino Linotype" w:hAnsi="Palatino Linotype" w:eastAsia="Calibri" w:cs="Calibri"/>
          <w:sz w:val="20"/>
          <w:szCs w:val="20"/>
          <w:lang w:eastAsia="de-DE" w:bidi="de-DE"/>
        </w:rPr>
        <w:t xml:space="preserve">, trotz ihrer guten Leistungen, nicht von Diskriminierung verschont. Rückblickend berichtet Sie in Hinblick auf Ih</w:t>
      </w:r>
      <w:r>
        <w:rPr>
          <w:rFonts w:ascii="Palatino Linotype" w:hAnsi="Palatino Linotype" w:eastAsia="Calibri" w:cs="Calibri"/>
          <w:sz w:val="20"/>
          <w:szCs w:val="20"/>
          <w:lang w:eastAsia="de-DE" w:bidi="de-DE"/>
        </w:rPr>
        <w:t xml:space="preserve">re Ausgrenzungserfahrungen: „Das Schlimmste, das hat sich bei mir eingeprägt, das war schon in der Schule. Ich hatte einen Direktor als Lehrer. Wenn der mich was gefragt hat und ich ihm nicht so antworten konnte wir er wollte, dann hat er mir immer den „Z*</w:t>
      </w:r>
      <w:r>
        <w:rPr>
          <w:rFonts w:ascii="Palatino Linotype" w:hAnsi="Palatino Linotype" w:eastAsia="Calibri" w:cs="Calibri"/>
          <w:sz w:val="20"/>
          <w:szCs w:val="20"/>
          <w:lang w:eastAsia="de-DE" w:bidi="de-DE"/>
        </w:rPr>
        <w:t xml:space="preserve">baron</w:t>
      </w:r>
      <w:r>
        <w:rPr>
          <w:rFonts w:ascii="Palatino Linotype" w:hAnsi="Palatino Linotype" w:eastAsia="Calibri" w:cs="Calibri"/>
          <w:sz w:val="20"/>
          <w:szCs w:val="20"/>
          <w:lang w:eastAsia="de-DE" w:bidi="de-DE"/>
        </w:rPr>
        <w:t xml:space="preserve">”</w:t>
      </w:r>
      <w:r>
        <w:rPr>
          <w:rFonts w:ascii="Palatino Linotype" w:hAnsi="Palatino Linotype" w:eastAsia="Calibri"/>
          <w:sz w:val="20"/>
          <w:szCs w:val="20"/>
          <w:vertAlign w:val="superscript"/>
          <w:lang w:bidi="de-DE"/>
        </w:rPr>
        <w:footnoteReference w:id="3"/>
      </w:r>
      <w:r>
        <w:rPr>
          <w:rFonts w:ascii="Palatino Linotype" w:hAnsi="Palatino Linotype" w:eastAsia="Calibri" w:cs="Calibri"/>
          <w:sz w:val="20"/>
          <w:szCs w:val="20"/>
          <w:lang w:eastAsia="de-DE" w:bidi="de-DE"/>
        </w:rPr>
        <w:t xml:space="preserve"> vorgesungen.”  Dennoch ließ sich </w:t>
      </w:r>
      <w:r>
        <w:rPr>
          <w:rFonts w:ascii="Palatino Linotype" w:hAnsi="Palatino Linotype" w:eastAsia="Calibri" w:cs="Calibri"/>
          <w:sz w:val="20"/>
          <w:szCs w:val="20"/>
          <w:lang w:eastAsia="de-DE" w:bidi="de-DE"/>
        </w:rPr>
        <w:t xml:space="preserve">Broschinski</w:t>
      </w:r>
      <w:r>
        <w:rPr>
          <w:rFonts w:ascii="Palatino Linotype" w:hAnsi="Palatino Linotype" w:eastAsia="Calibri" w:cs="Calibri"/>
          <w:sz w:val="20"/>
          <w:szCs w:val="20"/>
          <w:lang w:eastAsia="de-DE" w:bidi="de-DE"/>
        </w:rPr>
        <w:t xml:space="preserve">, auch durch die Unterstützung ihrer Familie, nicht von ihrem Weg abbringen. So begann sie nach der Schule eine Ausbildung als Restauratorin beim renommierten Haus Bernheimer und übte den Beruf über Jahrzehnte aus. Später kümmerte si</w:t>
      </w:r>
      <w:r>
        <w:rPr>
          <w:rFonts w:ascii="Palatino Linotype" w:hAnsi="Palatino Linotype" w:eastAsia="Calibri" w:cs="Calibri"/>
          <w:sz w:val="20"/>
          <w:szCs w:val="20"/>
          <w:lang w:eastAsia="de-DE" w:bidi="de-DE"/>
        </w:rPr>
        <w:t xml:space="preserve">e sich vor allem um ihre Eltern: „Wieso sollte ich meine Eltern abschieben? Sie haben mich ja auch nicht abgeschoben. Bei uns gibt es das nicht. Da kümmert man sich so lange wie man jemanden noch selbst pflegen kann.” Familie und Traditionen liegen Rosita </w:t>
      </w:r>
      <w:r>
        <w:rPr>
          <w:rFonts w:ascii="Palatino Linotype" w:hAnsi="Palatino Linotype" w:eastAsia="Calibri" w:cs="Calibri"/>
          <w:sz w:val="20"/>
          <w:szCs w:val="20"/>
          <w:lang w:eastAsia="de-DE" w:bidi="de-DE"/>
        </w:rPr>
        <w:t xml:space="preserve">Broschinski</w:t>
      </w:r>
      <w:r>
        <w:rPr>
          <w:rFonts w:ascii="Palatino Linotype" w:hAnsi="Palatino Linotype" w:eastAsia="Calibri" w:cs="Calibri"/>
          <w:sz w:val="20"/>
          <w:szCs w:val="20"/>
          <w:lang w:eastAsia="de-DE" w:bidi="de-DE"/>
        </w:rPr>
        <w:t xml:space="preserve"> am Herzen. Auf ihre Kultur und Sitten ist sie stolz und erzählt deshalb auch anderen bei Interesse gerne mehr darüber.</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3360" behindDoc="0" locked="0" layoutInCell="1" allowOverlap="1">
                <wp:simplePos x="0" y="0"/>
                <wp:positionH relativeFrom="margin">
                  <wp:posOffset>3512820</wp:posOffset>
                </wp:positionH>
                <wp:positionV relativeFrom="margin">
                  <wp:posOffset>221454</wp:posOffset>
                </wp:positionV>
                <wp:extent cx="2247900" cy="2543175"/>
                <wp:effectExtent l="0" t="0" r="0" b="9525"/>
                <wp:wrapSquare wrapText="bothSides"/>
                <wp:docPr id="10" name="Bild 35" descr="Ein Bild, das sitzend, Sitz, Möbe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5" descr="Ein Bild, das sitzend, Sitz, Möbel, Person enthält.&#10;&#10;Automatisch generierte Beschreibung"/>
                        <pic:cNvPicPr>
                          <a:picLocks noChangeAspect="1"/>
                        </pic:cNvPicPr>
                        <pic:nvPr/>
                      </pic:nvPicPr>
                      <pic:blipFill>
                        <a:blip r:embed="rId22"/>
                        <a:stretch/>
                      </pic:blipFill>
                      <pic:spPr bwMode="auto">
                        <a:xfrm>
                          <a:off x="0" y="0"/>
                          <a:ext cx="2247900" cy="25431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position:absolute;z-index:251663360;o:allowoverlap:true;o:allowincell:true;mso-position-horizontal-relative:margin;margin-left:276.6pt;mso-position-horizontal:absolute;mso-position-vertical-relative:margin;margin-top:17.4pt;mso-position-vertical:absolute;width:177.0pt;height:200.2pt;mso-wrap-distance-left:9.0pt;mso-wrap-distance-top:0.0pt;mso-wrap-distance-right:9.0pt;mso-wrap-distance-bottom:0.0pt;" stroked="f">
                <v:path textboxrect="0,0,0,0"/>
                <w10:wrap type="square"/>
                <v:imagedata r:id="rId22" o:title=""/>
              </v:shape>
            </w:pict>
          </mc:Fallback>
        </mc:AlternateContent>
      </w:r>
      <w:r>
        <w:rPr>
          <w:rFonts w:ascii="Palatino Linotype" w:hAnsi="Palatino Linotype" w:eastAsia="Arial Narrow" w:cs="Arial Narrow"/>
          <w:b/>
          <w:bCs/>
          <w:color w:val="0b474c"/>
          <w:sz w:val="22"/>
          <w:szCs w:val="22"/>
          <w:lang w:eastAsia="de-DE" w:bidi="de-DE"/>
        </w:rPr>
        <w:t xml:space="preserve">Iwan Kwiek</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73600"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11" name="Rechteck 6"/>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10" o:spid="_x0000_s10" o:spt="1" type="#_x0000_t1" style="position:absolute;z-index:251673600;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Calibri" w:cs="Calibri"/>
          <w:sz w:val="20"/>
          <w:szCs w:val="20"/>
          <w:lang w:eastAsia="de-DE" w:bidi="de-DE"/>
        </w:rPr>
        <w:t xml:space="preserve">Geboren 1947 in Danzig (Polen), kam Kwiek mit 11 Jahren mit seiner Familie nach Deutschland. Trotz der Verfolgung in Polen war jedoch auch der Neuanfang alles andere als leicht: „Gehol</w:t>
      </w:r>
      <w:r>
        <w:rPr>
          <w:rFonts w:ascii="Palatino Linotype" w:hAnsi="Palatino Linotype" w:eastAsia="Calibri" w:cs="Calibri"/>
          <w:sz w:val="20"/>
          <w:szCs w:val="20"/>
          <w:lang w:eastAsia="de-DE" w:bidi="de-DE"/>
        </w:rPr>
        <w:t xml:space="preserve">fen hat uns keiner. Wir hatten Staatenlosenpässe und konnten nicht arbeiten. Ich kann mich noch erinnern. Es war Oktober als wir angekommen sind. Da haben wir im Freien geschlafen, bis endlich unsere Wägen aus Polen gekommen sind.” Um über die Runden zu ko</w:t>
      </w:r>
      <w:r>
        <w:rPr>
          <w:rFonts w:ascii="Palatino Linotype" w:hAnsi="Palatino Linotype" w:eastAsia="Calibri" w:cs="Calibri"/>
          <w:sz w:val="20"/>
          <w:szCs w:val="20"/>
          <w:lang w:eastAsia="de-DE" w:bidi="de-DE"/>
        </w:rPr>
        <w:t xml:space="preserve">mmen, musste die Familie betteln: „Das waren sehr schwere Zeiten. Anderen Menschen kann man das nicht vernünftig erklären, aber es ist uns nichts anderes übriggeblieben. Am Ende vom Tag war man einfach froh, wenn man sich etwas zum Essen kaufen konnte.” Üb</w:t>
      </w:r>
      <w:r>
        <w:rPr>
          <w:rFonts w:ascii="Palatino Linotype" w:hAnsi="Palatino Linotype" w:eastAsia="Calibri" w:cs="Calibri"/>
          <w:sz w:val="20"/>
          <w:szCs w:val="20"/>
          <w:lang w:eastAsia="de-DE" w:bidi="de-DE"/>
        </w:rPr>
        <w:t xml:space="preserve">er mehrere Stationen kam die Familie später von Hamburg nach München, wo Kwiek als Teppichhändler arbeitete. Von Diskriminierung und Schikanen blieb er aber weiterhin nicht verschont. Insbesondere bei Behörden sieht Kwiek, nicht zuletzt in Hinblick auf sei</w:t>
      </w:r>
      <w:r>
        <w:rPr>
          <w:rFonts w:ascii="Palatino Linotype" w:hAnsi="Palatino Linotype" w:eastAsia="Calibri" w:cs="Calibri"/>
          <w:sz w:val="20"/>
          <w:szCs w:val="20"/>
          <w:lang w:eastAsia="de-DE" w:bidi="de-DE"/>
        </w:rPr>
        <w:t xml:space="preserve">ne Staatenlosigkeit, große Probleme: „Wenn ich etwas einreiche, dann bleibt das meistens einfach liegen.” Auf die Frage, ob er probiert hätte, sich einbürgern zu lassen, antwortet Kwiek: „Ach, nicht nur einmal. Die haben mir gesagt: ‘Das steht Ihnen nicht </w:t>
      </w:r>
      <w:r>
        <w:rPr>
          <w:rFonts w:ascii="Palatino Linotype" w:hAnsi="Palatino Linotype" w:eastAsia="Calibri" w:cs="Calibri"/>
          <w:sz w:val="20"/>
          <w:szCs w:val="20"/>
          <w:lang w:eastAsia="de-DE" w:bidi="de-DE"/>
        </w:rPr>
        <w:t xml:space="preserve">zu.’</w:t>
      </w:r>
      <w:r>
        <w:rPr>
          <w:rFonts w:ascii="Palatino Linotype" w:hAnsi="Palatino Linotype" w:eastAsia="Calibri" w:cs="Calibri"/>
          <w:sz w:val="20"/>
          <w:szCs w:val="20"/>
          <w:lang w:eastAsia="de-DE" w:bidi="de-DE"/>
        </w:rPr>
        <w:t xml:space="preserve">” </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Regina Horvath</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4384" behindDoc="0" locked="0" layoutInCell="1" allowOverlap="1">
                <wp:simplePos x="0" y="0"/>
                <wp:positionH relativeFrom="margin">
                  <wp:posOffset>3493770</wp:posOffset>
                </wp:positionH>
                <wp:positionV relativeFrom="margin">
                  <wp:posOffset>5069062</wp:posOffset>
                </wp:positionV>
                <wp:extent cx="2257425" cy="2524125"/>
                <wp:effectExtent l="0" t="0" r="9525" b="9525"/>
                <wp:wrapSquare wrapText="bothSides"/>
                <wp:docPr id="12" name="Bild 36" descr="Ein Bild, das Möbel, Si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descr="Ein Bild, das Möbel, Sitz enthält.&#10;&#10;Automatisch generierte Beschreibung"/>
                        <pic:cNvPicPr>
                          <a:picLocks noChangeAspect="1"/>
                        </pic:cNvPicPr>
                        <pic:nvPr/>
                      </pic:nvPicPr>
                      <pic:blipFill>
                        <a:blip r:embed="rId23"/>
                        <a:stretch/>
                      </pic:blipFill>
                      <pic:spPr bwMode="auto">
                        <a:xfrm>
                          <a:off x="0" y="0"/>
                          <a:ext cx="2257425" cy="25241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position:absolute;z-index:251664384;o:allowoverlap:true;o:allowincell:true;mso-position-horizontal-relative:margin;margin-left:275.1pt;mso-position-horizontal:absolute;mso-position-vertical-relative:margin;margin-top:399.1pt;mso-position-vertical:absolute;width:177.8pt;height:198.8pt;mso-wrap-distance-left:9.0pt;mso-wrap-distance-top:0.0pt;mso-wrap-distance-right:9.0pt;mso-wrap-distance-bottom:0.0pt;" stroked="f">
                <v:path textboxrect="0,0,0,0"/>
                <w10:wrap type="square"/>
                <v:imagedata r:id="rId23" o:title=""/>
              </v:shape>
            </w:pict>
          </mc:Fallback>
        </mc:AlternateContent>
      </w:r>
      <w:r>
        <w:rPr>
          <w:rFonts w:ascii="Palatino Linotype" w:hAnsi="Palatino Linotype" w:eastAsia="Calibri" w:cs="Calibri"/>
          <w:sz w:val="20"/>
          <w:szCs w:val="20"/>
          <w:lang w:eastAsia="de-DE" w:bidi="de-DE"/>
        </w:rPr>
        <w:t xml:space="preserve">Geboren 1956 in München, war das Leben von Regina H</w:t>
      </w:r>
      <w:r>
        <w:rPr>
          <w:rFonts w:ascii="Palatino Linotype" w:hAnsi="Palatino Linotype" w:eastAsia="Calibri" w:cs="Calibri"/>
          <w:sz w:val="20"/>
          <w:szCs w:val="20"/>
          <w:lang w:eastAsia="de-DE" w:bidi="de-DE"/>
        </w:rPr>
        <w:t xml:space="preserve">orvath besonders durch die Erlebnisse ihrer Eltern im Nationalsozialismus geprägt. Sie prägten ihrem Kind früh ein, sich in Bezug auf die eigene Herkunft Fremden gegenüber lieber vorsichtig zu verhalten. Das auch vermeintliche Zurückhaltung keinen Schutz v</w:t>
      </w:r>
      <w:r>
        <w:rPr>
          <w:rFonts w:ascii="Palatino Linotype" w:hAnsi="Palatino Linotype" w:eastAsia="Calibri" w:cs="Calibri"/>
          <w:sz w:val="20"/>
          <w:szCs w:val="20"/>
          <w:lang w:eastAsia="de-DE" w:bidi="de-DE"/>
        </w:rPr>
        <w:t xml:space="preserve">or Anfeindungen und Diskriminierung bot, merkte Horvath aber schon in der Schule als eine Lehrerin sagte: „Der Hitler hat vergessen euch alle zu vergasen!” Diese Erkenntnis zog sich auch durch das spätere Leben: „Das hat mich früher immer so geärgert. Ich </w:t>
      </w:r>
      <w:r>
        <w:rPr>
          <w:rFonts w:ascii="Palatino Linotype" w:hAnsi="Palatino Linotype" w:eastAsia="Calibri" w:cs="Calibri"/>
          <w:sz w:val="20"/>
          <w:szCs w:val="20"/>
          <w:lang w:eastAsia="de-DE" w:bidi="de-DE"/>
        </w:rPr>
        <w:t xml:space="preserve">hab</w:t>
      </w:r>
      <w:r>
        <w:rPr>
          <w:rFonts w:ascii="Palatino Linotype" w:hAnsi="Palatino Linotype" w:eastAsia="Calibri" w:cs="Calibri"/>
          <w:sz w:val="20"/>
          <w:szCs w:val="20"/>
          <w:lang w:eastAsia="de-DE" w:bidi="de-DE"/>
        </w:rPr>
        <w:t xml:space="preserve"> mich immer gefragt, wieso ich keine Ausbildung bekomme. Bei den Gesprächen wurde ich immer gefr</w:t>
      </w:r>
      <w:r>
        <w:rPr>
          <w:rFonts w:ascii="Palatino Linotype" w:hAnsi="Palatino Linotype" w:eastAsia="Calibri" w:cs="Calibri"/>
          <w:sz w:val="20"/>
          <w:szCs w:val="20"/>
          <w:lang w:eastAsia="de-DE" w:bidi="de-DE"/>
        </w:rPr>
        <w:t xml:space="preserve">agt woher ich komme. Wenn ich dann gesagt habe ‘von hier, aus München’, dann hieß es immer, dass das ja nicht sein könne. Ich müsse ja eine Italienerin oder Spanierin sein. Wenn ich das aber alles verneint habe, dann blieb ja nur noch übrig, dass ich eine </w:t>
      </w:r>
      <w:r>
        <w:rPr>
          <w:rFonts w:ascii="Palatino Linotype" w:hAnsi="Palatino Linotype" w:eastAsia="Calibri" w:cs="Calibri"/>
          <w:sz w:val="20"/>
          <w:szCs w:val="20"/>
          <w:lang w:eastAsia="de-DE" w:bidi="de-DE"/>
        </w:rPr>
        <w:t xml:space="preserve">Sintezza</w:t>
      </w:r>
      <w:r>
        <w:rPr>
          <w:rFonts w:ascii="Palatino Linotype" w:hAnsi="Palatino Linotype" w:eastAsia="Calibri" w:cs="Calibri"/>
          <w:sz w:val="20"/>
          <w:szCs w:val="20"/>
          <w:lang w:eastAsia="de-DE" w:bidi="de-DE"/>
        </w:rPr>
        <w:t xml:space="preserve"> bin.” Mit 61 Jahren entschied sich Horvath deshalb, eine Ausbildung als </w:t>
      </w:r>
      <w:r>
        <w:rPr>
          <w:rFonts w:ascii="Palatino Linotype" w:hAnsi="Palatino Linotype" w:eastAsia="Calibri" w:cs="Calibri"/>
          <w:sz w:val="20"/>
          <w:szCs w:val="20"/>
          <w:lang w:eastAsia="de-DE" w:bidi="de-DE"/>
        </w:rPr>
        <w:t xml:space="preserve">Schulmediatorin</w:t>
      </w:r>
      <w:r>
        <w:rPr>
          <w:rFonts w:ascii="Palatino Linotype" w:hAnsi="Palatino Linotype" w:eastAsia="Calibri" w:cs="Calibri"/>
          <w:sz w:val="20"/>
          <w:szCs w:val="20"/>
          <w:lang w:eastAsia="de-DE" w:bidi="de-DE"/>
        </w:rPr>
        <w:t xml:space="preserve"> zu beginnen, um anderen Kindern und Jugendlichen in ihrem Werdegang zu unterstützen: „Aufgrund meiner Erfahrungen in der Schule wollte ich nicht, dass andere Kinder sowas auch mitmachen müssen.” </w:t>
      </w:r>
      <w:r/>
    </w:p>
    <w:p>
      <w:pPr>
        <w:rPr>
          <w:rFonts w:ascii="Calibri" w:hAnsi="Calibri" w:eastAsia="Times New Roman" w:cs="Calibri"/>
          <w:lang w:eastAsia="de-DE"/>
        </w:rPr>
        <w:sectPr>
          <w:footnotePr/>
          <w:endnotePr/>
          <w:type w:val="nextPage"/>
          <w:pgSz w:w="11906" w:h="16838" w:orient="portrait"/>
          <w:pgMar w:top="1418" w:right="1418" w:bottom="1134" w:left="1418" w:header="709" w:footer="709" w:gutter="0"/>
          <w:lnNumType w:countBy="5"/>
          <w:cols w:num="1" w:sep="0" w:space="708" w:equalWidth="1"/>
          <w:docGrid w:linePitch="360"/>
        </w:sectPr>
      </w:pPr>
      <w:r>
        <w:rPr>
          <w:rFonts w:ascii="Calibri" w:hAnsi="Calibri" w:eastAsia="Times New Roman" w:cs="Calibri"/>
          <w:lang w:eastAsia="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Hermann Krause</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5408" behindDoc="0" locked="0" layoutInCell="1" allowOverlap="1">
                <wp:simplePos x="0" y="0"/>
                <wp:positionH relativeFrom="margin">
                  <wp:posOffset>3512820</wp:posOffset>
                </wp:positionH>
                <wp:positionV relativeFrom="margin">
                  <wp:posOffset>412276</wp:posOffset>
                </wp:positionV>
                <wp:extent cx="2247900" cy="2600325"/>
                <wp:effectExtent l="0" t="0" r="0" b="9525"/>
                <wp:wrapSquare wrapText="bothSides"/>
                <wp:docPr id="13" name="Bild 37" descr="Ein Bild, das Person, Mann, Möbel, Si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ild 37" descr="Ein Bild, das Person, Mann, Möbel, Sitz enthält.&#10;&#10;Automatisch generierte Beschreibung"/>
                        <pic:cNvPicPr>
                          <a:picLocks noChangeAspect="1"/>
                        </pic:cNvPicPr>
                        <pic:nvPr/>
                      </pic:nvPicPr>
                      <pic:blipFill>
                        <a:blip r:embed="rId24"/>
                        <a:stretch/>
                      </pic:blipFill>
                      <pic:spPr bwMode="auto">
                        <a:xfrm>
                          <a:off x="0" y="0"/>
                          <a:ext cx="2247900" cy="26003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position:absolute;z-index:251665408;o:allowoverlap:true;o:allowincell:true;mso-position-horizontal-relative:margin;margin-left:276.6pt;mso-position-horizontal:absolute;mso-position-vertical-relative:margin;margin-top:32.5pt;mso-position-vertical:absolute;width:177.0pt;height:204.8pt;mso-wrap-distance-left:9.0pt;mso-wrap-distance-top:0.0pt;mso-wrap-distance-right:9.0pt;mso-wrap-distance-bottom:0.0pt;" stroked="f">
                <v:path textboxrect="0,0,0,0"/>
                <w10:wrap type="square"/>
                <v:imagedata r:id="rId24" o:title=""/>
              </v:shape>
            </w:pict>
          </mc:Fallback>
        </mc:AlternateContent>
      </w: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74624"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14" name="Rechteck 7"/>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13" o:spid="_x0000_s13" o:spt="1" type="#_x0000_t1" style="position:absolute;z-index:251674624;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Calibri" w:cs="Calibri"/>
          <w:sz w:val="20"/>
          <w:szCs w:val="20"/>
          <w:lang w:eastAsia="de-DE" w:bidi="de-DE"/>
        </w:rPr>
        <w:t xml:space="preserve">Geboren 1968 in München, kann Hermann Krause auf eine lange Tradition seiner Familie zurückblicken, deren Wurzeln in Königsberg (heute: Kaliningrad, Russland) liegen. Über Nacht flohen seine Großeltern und Eltern, deren Vorf</w:t>
      </w:r>
      <w:r>
        <w:rPr>
          <w:rFonts w:ascii="Palatino Linotype" w:hAnsi="Palatino Linotype" w:eastAsia="Calibri" w:cs="Calibri"/>
          <w:sz w:val="20"/>
          <w:szCs w:val="20"/>
          <w:lang w:eastAsia="de-DE" w:bidi="de-DE"/>
        </w:rPr>
        <w:t xml:space="preserve">ahren im Kaiserreich über Jahrhunderte vogelfrei waren, aus einem Konzentrationslager. Der Großvater versuchte auch danach noch, Insassen nachträglich über Kontakte und Bestechungen zu helfen und unterstützte die Alliierten nach Kriegsende im Rahmen strafr</w:t>
      </w:r>
      <w:r>
        <w:rPr>
          <w:rFonts w:ascii="Palatino Linotype" w:hAnsi="Palatino Linotype" w:eastAsia="Calibri" w:cs="Calibri"/>
          <w:sz w:val="20"/>
          <w:szCs w:val="20"/>
          <w:lang w:eastAsia="de-DE" w:bidi="de-DE"/>
        </w:rPr>
        <w:t xml:space="preserve">echtlicher Verfolgungen mit Informationen. Krause selbst hat nach der Schule zuerst im Antiquitätenhandel seines Vaters gearbeitet.  Später wechselte er den Beruf und bereiste als Fern- und Testfahrer zahlreiche Länder auf der ganzen Welt. Rückblickend ste</w:t>
      </w:r>
      <w:r>
        <w:rPr>
          <w:rFonts w:ascii="Palatino Linotype" w:hAnsi="Palatino Linotype" w:eastAsia="Calibri" w:cs="Calibri"/>
          <w:sz w:val="20"/>
          <w:szCs w:val="20"/>
          <w:lang w:eastAsia="de-DE" w:bidi="de-DE"/>
        </w:rPr>
        <w:t xml:space="preserve">llt er fest: „Es gibt überall Diskriminierung, auf der ganzen Welt. Aber das ist natürlich nicht die ganze Bevölkerung.” Damit zufrieden geben will sich Krause aber dennoch nicht: „Zur Aufklärung ist Begegnung unabdingbar.” Besonders für die Zukunft seiner</w:t>
      </w:r>
      <w:r>
        <w:rPr>
          <w:rFonts w:ascii="Palatino Linotype" w:hAnsi="Palatino Linotype" w:eastAsia="Calibri" w:cs="Calibri"/>
          <w:sz w:val="20"/>
          <w:szCs w:val="20"/>
          <w:lang w:eastAsia="de-DE" w:bidi="de-DE"/>
        </w:rPr>
        <w:t xml:space="preserve"> Tochter hofft er deshalb auf einen positiven Einfluss für Sinti und Roma über den Beruf, zum Beispiel als Rechtsanwältin oder Politikerin. Gleichzeitig merkt er aber auch an: „Es sollte natürlich etwas sein, dass sie glücklich macht und zufriedenstellt.” </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Josef Schneeberger</w:t>
      </w:r>
      <w:r/>
    </w:p>
    <w:p>
      <w:pPr>
        <w:jc w:val="both"/>
        <w:rPr>
          <w:rFonts w:ascii="Palatino Linotype" w:hAnsi="Palatino Linotype" w:eastAsia="Calibri" w:cs="Calibri"/>
          <w:sz w:val="20"/>
          <w:szCs w:val="20"/>
          <w:lang w:eastAsia="de-DE" w:bidi="de-DE"/>
        </w:rPr>
        <w:sectPr>
          <w:footnotePr/>
          <w:endnotePr/>
          <w:type w:val="nextPage"/>
          <w:pgSz w:w="11906" w:h="16838" w:orient="portrait"/>
          <w:pgMar w:top="1418" w:right="1418" w:bottom="1134" w:left="1418" w:header="709" w:footer="709" w:gutter="0"/>
          <w:lnNumType w:countBy="5"/>
          <w:cols w:num="1" w:sep="0" w:space="708" w:equalWidth="1"/>
          <w:docGrid w:linePitch="360"/>
        </w:sect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6432" behindDoc="0" locked="0" layoutInCell="1" allowOverlap="1">
                <wp:simplePos x="0" y="0"/>
                <wp:positionH relativeFrom="margin">
                  <wp:posOffset>3512820</wp:posOffset>
                </wp:positionH>
                <wp:positionV relativeFrom="margin">
                  <wp:posOffset>5409708</wp:posOffset>
                </wp:positionV>
                <wp:extent cx="2247900" cy="2667000"/>
                <wp:effectExtent l="0" t="0" r="0" b="0"/>
                <wp:wrapSquare wrapText="bothSides"/>
                <wp:docPr id="15" name="Bild 38" descr="Ein Bild, das Person, sitzend, Mann, Si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ild 38" descr="Ein Bild, das Person, sitzend, Mann, Sitz enthält.&#10;&#10;Automatisch generierte Beschreibung"/>
                        <pic:cNvPicPr>
                          <a:picLocks noChangeAspect="1"/>
                        </pic:cNvPicPr>
                        <pic:nvPr/>
                      </pic:nvPicPr>
                      <pic:blipFill>
                        <a:blip r:embed="rId25"/>
                        <a:stretch/>
                      </pic:blipFill>
                      <pic:spPr bwMode="auto">
                        <a:xfrm>
                          <a:off x="0" y="0"/>
                          <a:ext cx="2247900" cy="26670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position:absolute;z-index:251666432;o:allowoverlap:true;o:allowincell:true;mso-position-horizontal-relative:margin;margin-left:276.6pt;mso-position-horizontal:absolute;mso-position-vertical-relative:margin;margin-top:426.0pt;mso-position-vertical:absolute;width:177.0pt;height:210.0pt;mso-wrap-distance-left:9.0pt;mso-wrap-distance-top:0.0pt;mso-wrap-distance-right:9.0pt;mso-wrap-distance-bottom:0.0pt;" stroked="f">
                <v:path textboxrect="0,0,0,0"/>
                <w10:wrap type="square"/>
                <v:imagedata r:id="rId25" o:title=""/>
              </v:shape>
            </w:pict>
          </mc:Fallback>
        </mc:AlternateContent>
      </w:r>
      <w:r>
        <w:rPr>
          <w:rFonts w:ascii="Palatino Linotype" w:hAnsi="Palatino Linotype" w:eastAsia="Calibri" w:cs="Calibri"/>
          <w:sz w:val="20"/>
          <w:szCs w:val="20"/>
          <w:lang w:eastAsia="de-DE" w:bidi="de-DE"/>
        </w:rPr>
        <w:t xml:space="preserve">Geboren 1966 in Köln, wuchs Josef (Tino) Schneeberger bei seinen Großeltern auf. So kam er schon früh mit dem Schicksal seiner eigenen Familie und anderer Sinti während d</w:t>
      </w:r>
      <w:r>
        <w:rPr>
          <w:rFonts w:ascii="Palatino Linotype" w:hAnsi="Palatino Linotype" w:eastAsia="Calibri" w:cs="Calibri"/>
          <w:sz w:val="20"/>
          <w:szCs w:val="20"/>
          <w:lang w:eastAsia="de-DE" w:bidi="de-DE"/>
        </w:rPr>
        <w:t xml:space="preserve">es Nationalsozialismus in Berührung: „Wir waren früher immer jedes Jahr auf Reisen. Am Lagerfeuer haben die Älteren dann immer von früher erzählt und das an uns weitergegeben.” Sein eigener Urgroßvater wurde in Auschwitz ermordet, auch zahlreiche andere Ve</w:t>
      </w:r>
      <w:r>
        <w:rPr>
          <w:rFonts w:ascii="Palatino Linotype" w:hAnsi="Palatino Linotype" w:eastAsia="Calibri" w:cs="Calibri"/>
          <w:sz w:val="20"/>
          <w:szCs w:val="20"/>
          <w:lang w:eastAsia="de-DE" w:bidi="de-DE"/>
        </w:rPr>
        <w:t xml:space="preserve">rwandte überlebten die Verfolgungen nicht. Trotz dieser Umstände riss das Interesse an den Erzählungen aber nicht ab: „Ich war immer ein neugieriges Kind und habe in meiner Zeit von damals bis heute sicherlich über 200 Zeitzeugen befragt.” Gleichzeitig lie</w:t>
      </w:r>
      <w:r>
        <w:rPr>
          <w:rFonts w:ascii="Palatino Linotype" w:hAnsi="Palatino Linotype" w:eastAsia="Calibri" w:cs="Calibri"/>
          <w:sz w:val="20"/>
          <w:szCs w:val="20"/>
          <w:lang w:eastAsia="de-DE" w:bidi="de-DE"/>
        </w:rPr>
        <w:t xml:space="preserve">gen ihm auch die Lehren aus der Vergangenheit und aktuellen Umstände am Herzen. Auf die Frage, wie er über die Bezeichnung Z-Wort denkt, antwortet Schneeberger: „Wir möchten dieses Wort, den Begriff einfach nicht. Den gibt es in unserer Muttersprache nicht</w:t>
      </w:r>
      <w:r>
        <w:rPr>
          <w:rFonts w:ascii="Palatino Linotype" w:hAnsi="Palatino Linotype" w:eastAsia="Calibri" w:cs="Calibri"/>
          <w:sz w:val="20"/>
          <w:szCs w:val="20"/>
          <w:lang w:eastAsia="de-DE" w:bidi="de-DE"/>
        </w:rPr>
        <w:t xml:space="preserve">, er wurde uns einfach aufgezwungen. Wir nennen uns selbst Sinti oder Roma [...].” Vor diesem Hintergrund setzt sich Schneeberger auch ehrenamtlich für seine Gemeinschaft ein und fördert die Vernetzung von Sinti und Roma in Deutschland über Online-Treffen.</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Karin Wittmann</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7456" behindDoc="0" locked="0" layoutInCell="1" allowOverlap="1">
                <wp:simplePos x="0" y="0"/>
                <wp:positionH relativeFrom="margin">
                  <wp:posOffset>3541395</wp:posOffset>
                </wp:positionH>
                <wp:positionV relativeFrom="margin">
                  <wp:posOffset>406874</wp:posOffset>
                </wp:positionV>
                <wp:extent cx="2247900" cy="2664460"/>
                <wp:effectExtent l="0" t="0" r="0" b="2540"/>
                <wp:wrapSquare wrapText="bothSides"/>
                <wp:docPr id="16" name="Bild 39" descr="Ein Bild, das Boden, drinnen, Stuhl, Mö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ild 39" descr="Ein Bild, das Boden, drinnen, Stuhl, Möbel enthält.&#10;&#10;Automatisch generierte Beschreibung"/>
                        <pic:cNvPicPr>
                          <a:picLocks noChangeAspect="1"/>
                        </pic:cNvPicPr>
                        <pic:nvPr/>
                      </pic:nvPicPr>
                      <pic:blipFill>
                        <a:blip r:embed="rId26"/>
                        <a:stretch/>
                      </pic:blipFill>
                      <pic:spPr bwMode="auto">
                        <a:xfrm>
                          <a:off x="0" y="0"/>
                          <a:ext cx="2247900" cy="2664459"/>
                        </a:xfrm>
                        <a:prstGeom prst="rect">
                          <a:avLst/>
                        </a:prstGeom>
                        <a:noFill/>
                        <a:ln>
                          <a:noFill/>
                        </a:ln>
                      </pic:spPr>
                    </pic:pic>
                  </a:graphicData>
                </a:graphic>
                <wp14:sizeRelV relativeFrom="margin">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position:absolute;z-index:251667456;o:allowoverlap:true;o:allowincell:true;mso-position-horizontal-relative:margin;margin-left:278.8pt;mso-position-horizontal:absolute;mso-position-vertical-relative:margin;margin-top:32.0pt;mso-position-vertical:absolute;width:177.0pt;height:209.8pt;mso-wrap-distance-left:9.0pt;mso-wrap-distance-top:0.0pt;mso-wrap-distance-right:9.0pt;mso-wrap-distance-bottom:0.0pt;" stroked="f">
                <v:path textboxrect="0,0,0,0"/>
                <w10:wrap type="square"/>
                <v:imagedata r:id="rId26" o:title=""/>
              </v:shape>
            </w:pict>
          </mc:Fallback>
        </mc:AlternateContent>
      </w: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75648"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17" name="Rechteck 8"/>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16" o:spid="_x0000_s16" o:spt="1" type="#_x0000_t1" style="position:absolute;z-index:251675648;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Calibri" w:cs="Calibri"/>
          <w:sz w:val="20"/>
          <w:szCs w:val="20"/>
          <w:lang w:eastAsia="de-DE" w:bidi="de-DE"/>
        </w:rPr>
        <w:t xml:space="preserve">Geboren 1947 in Osterhofen (Bayern), ist Karin Wittmann in einer Artistenfamilie groß </w:t>
      </w:r>
      <w:r>
        <w:rPr>
          <w:rFonts w:ascii="Palatino Linotype" w:hAnsi="Palatino Linotype" w:eastAsia="Calibri" w:cs="Calibri"/>
          <w:sz w:val="20"/>
          <w:szCs w:val="20"/>
          <w:lang w:eastAsia="de-DE" w:bidi="de-DE"/>
        </w:rPr>
        <w:t xml:space="preserve">geworden. Mit dem Zirkus reiste die Familie von Ort zu Ort. Der Alltag war alles andere als einfach: „Die Leute haben uns meistens vertrieben. Da sind wir manchmal noch Tag und Nacht rumgefahren, bis wir einen Stellplatz gefunden haben.” Als ihre Mutter fr</w:t>
      </w:r>
      <w:r>
        <w:rPr>
          <w:rFonts w:ascii="Palatino Linotype" w:hAnsi="Palatino Linotype" w:eastAsia="Calibri" w:cs="Calibri"/>
          <w:sz w:val="20"/>
          <w:szCs w:val="20"/>
          <w:lang w:eastAsia="de-DE" w:bidi="de-DE"/>
        </w:rPr>
        <w:t xml:space="preserve">üh stirbt, muss sich Wittmann mit 13 Jahren zusammen mit ihrem Vater um die jüngeren Geschwister und den Haushalt kümmern. Gleichzeitig hat sie es auch in der Schule nicht leicht: „Da haben sie uns ‘Z*pack’ genannt. Das war einfach keine schöne Zeit.” Hinz</w:t>
      </w:r>
      <w:r>
        <w:rPr>
          <w:rFonts w:ascii="Palatino Linotype" w:hAnsi="Palatino Linotype" w:eastAsia="Calibri" w:cs="Calibri"/>
          <w:sz w:val="20"/>
          <w:szCs w:val="20"/>
          <w:lang w:eastAsia="de-DE" w:bidi="de-DE"/>
        </w:rPr>
        <w:t xml:space="preserve">u kommt, dass die Familie seit dem Nationalsozialismus staatenlos war. Erst mit viel Mühe und Zeit gelingt es ihr und anderen Verwandten, die Staatsangehörigkeit wiederzuerlangen. Dennoch betont sie: „Staatenlosigkeit ist auch heute noch ein Problem für Si</w:t>
      </w:r>
      <w:r>
        <w:rPr>
          <w:rFonts w:ascii="Palatino Linotype" w:hAnsi="Palatino Linotype" w:eastAsia="Calibri" w:cs="Calibri"/>
          <w:sz w:val="20"/>
          <w:szCs w:val="20"/>
          <w:lang w:eastAsia="de-DE" w:bidi="de-DE"/>
        </w:rPr>
        <w:t xml:space="preserve">nti und Roma. Meine Enkelkinder haben zum Beispiel auch nur Staatenlosenpässe, obwohl sie in Deutschland geboren sind. Da haben wir schon lange Anträge gestellt, aber die Behörden sagen immer wieder, dass sie gerade keine Zeit haben, um die zu bearbeiten.”</w:t>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r>
      <w:r/>
    </w:p>
    <w:p>
      <w:pPr>
        <w:jc w:val="both"/>
        <w:spacing w:before="215" w:line="278" w:lineRule="auto"/>
        <w:widowControl w:val="off"/>
        <w:rPr>
          <w:rFonts w:ascii="Palatino Linotype" w:hAnsi="Palatino Linotype" w:eastAsia="Arial Narrow" w:cs="Arial Narrow"/>
          <w:b/>
          <w:bCs/>
          <w:color w:val="0b474c"/>
          <w:sz w:val="22"/>
          <w:szCs w:val="22"/>
          <w:lang w:eastAsia="de-DE" w:bidi="de-DE"/>
        </w:rPr>
        <w:suppressLineNumbers/>
      </w:pPr>
      <w:r>
        <w:rPr>
          <w:rFonts w:ascii="Palatino Linotype" w:hAnsi="Palatino Linotype" w:eastAsia="Arial Narrow" w:cs="Arial Narrow"/>
          <w:b/>
          <w:bCs/>
          <w:color w:val="0b474c"/>
          <w:sz w:val="22"/>
          <w:szCs w:val="22"/>
          <w:lang w:eastAsia="de-DE" w:bidi="de-DE"/>
        </w:rPr>
        <w:t xml:space="preserve">Mario Anton</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mc:AlternateContent>
          <mc:Choice Requires="wpg">
            <w:drawing>
              <wp:anchor xmlns:wp="http://schemas.openxmlformats.org/drawingml/2006/wordprocessingDrawing" xmlns:wp14="http://schemas.microsoft.com/office/word/2010/wordprocessingDrawing" distT="0" distB="0" distL="114300" distR="114300" simplePos="0" relativeHeight="251668480" behindDoc="0" locked="0" layoutInCell="1" allowOverlap="1">
                <wp:simplePos x="0" y="0"/>
                <wp:positionH relativeFrom="margin">
                  <wp:posOffset>3535045</wp:posOffset>
                </wp:positionH>
                <wp:positionV relativeFrom="margin">
                  <wp:posOffset>5049520</wp:posOffset>
                </wp:positionV>
                <wp:extent cx="2247900" cy="2681605"/>
                <wp:effectExtent l="0" t="0" r="0" b="4445"/>
                <wp:wrapSquare wrapText="bothSides"/>
                <wp:docPr id="18"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pic:cNvPicPr>
                        <pic:nvPr/>
                      </pic:nvPicPr>
                      <pic:blipFill>
                        <a:blip r:embed="rId27"/>
                        <a:stretch/>
                      </pic:blipFill>
                      <pic:spPr bwMode="auto">
                        <a:xfrm>
                          <a:off x="0" y="0"/>
                          <a:ext cx="2247900" cy="2681605"/>
                        </a:xfrm>
                        <a:prstGeom prst="rect">
                          <a:avLst/>
                        </a:prstGeom>
                        <a:noFill/>
                        <a:ln>
                          <a:noFill/>
                        </a:ln>
                      </pic:spPr>
                    </pic:pic>
                  </a:graphicData>
                </a:graphic>
                <wp14:sizeRelV relativeFrom="margin">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position:absolute;z-index:251668480;o:allowoverlap:true;o:allowincell:true;mso-position-horizontal-relative:margin;margin-left:278.3pt;mso-position-horizontal:absolute;mso-position-vertical-relative:margin;margin-top:397.6pt;mso-position-vertical:absolute;width:177.0pt;height:211.1pt;mso-wrap-distance-left:9.0pt;mso-wrap-distance-top:0.0pt;mso-wrap-distance-right:9.0pt;mso-wrap-distance-bottom:0.0pt;" stroked="f">
                <v:path textboxrect="0,0,0,0"/>
                <w10:wrap type="square"/>
                <v:imagedata r:id="rId27" o:title=""/>
              </v:shape>
            </w:pict>
          </mc:Fallback>
        </mc:AlternateContent>
      </w:r>
      <w:r>
        <w:rPr>
          <w:rFonts w:ascii="Palatino Linotype" w:hAnsi="Palatino Linotype" w:eastAsia="Calibri" w:cs="Calibri"/>
          <w:sz w:val="20"/>
          <w:szCs w:val="20"/>
          <w:lang w:eastAsia="de-DE" w:bidi="de-DE"/>
        </w:rPr>
        <w:t xml:space="preserve">Geboren 1967 in </w:t>
      </w:r>
      <w:r>
        <w:rPr>
          <w:rFonts w:ascii="Palatino Linotype" w:hAnsi="Palatino Linotype" w:eastAsia="Calibri" w:cs="Calibri"/>
          <w:sz w:val="20"/>
          <w:szCs w:val="20"/>
          <w:lang w:eastAsia="de-DE" w:bidi="de-DE"/>
        </w:rPr>
        <w:t xml:space="preserve">München, wurde Mario Anton zusammen mit seinen zwei Geschwistern von der Mutter allein großgezogen. Der Großvater half als Kaufmann dabei, die Familie über Wasser zu halten. Nach dessen Tod war man auf sich allein gestellt: „Wir waren eine große Familie un</w:t>
      </w:r>
      <w:r>
        <w:rPr>
          <w:rFonts w:ascii="Palatino Linotype" w:hAnsi="Palatino Linotype" w:eastAsia="Calibri" w:cs="Calibri"/>
          <w:sz w:val="20"/>
          <w:szCs w:val="20"/>
          <w:lang w:eastAsia="de-DE" w:bidi="de-DE"/>
        </w:rPr>
        <w:t xml:space="preserve">d da hat man zusammengehalten. Leicht hatten wir es aber nie, vor allem wegen den Vorurteilen. Weil wir vielleicht ein bisschen anders sind oder aussehen, hatten wir immer wieder mit Problemen zu kämpfen.” Nach der Schule arbeitet Anton zunächst in verschi</w:t>
      </w:r>
      <w:r>
        <w:rPr>
          <w:rFonts w:ascii="Palatino Linotype" w:hAnsi="Palatino Linotype" w:eastAsia="Calibri" w:cs="Calibri"/>
          <w:sz w:val="20"/>
          <w:szCs w:val="20"/>
          <w:lang w:eastAsia="de-DE" w:bidi="de-DE"/>
        </w:rPr>
        <w:t xml:space="preserve">edenen Berufen, bevor er eine Ausbildung zum Berufskraftfahrer macht. Verschwunden ist die Diskriminierung für Anton dennoch nicht: „Wenn man sagt, dass man Sinto ist, dann merkt man schon, dass es oft eine gewisse Distanz gibt. Manchmal bekommt man auch A</w:t>
      </w:r>
      <w:r>
        <w:rPr>
          <w:rFonts w:ascii="Palatino Linotype" w:hAnsi="Palatino Linotype" w:eastAsia="Calibri" w:cs="Calibri"/>
          <w:sz w:val="20"/>
          <w:szCs w:val="20"/>
          <w:lang w:eastAsia="de-DE" w:bidi="de-DE"/>
        </w:rPr>
        <w:t xml:space="preserve">ntworten wie: ‘Das sind ja auch Menschen’. Sowas ärgert mich, das ist herablassend.” Mit Blick auf seine zwei Kinder sagt er nachdenklich: „Die müssen lernen damit umzugehen, weil sich das nie ändern wird. Ich hoffe einfach, dass sie damit zurechtkommen.” </w:t>
      </w:r>
      <w:r/>
    </w:p>
    <w:p>
      <w:pPr>
        <w:jc w:val="both"/>
        <w:rPr>
          <w:rFonts w:ascii="Palatino Linotype" w:hAnsi="Palatino Linotype" w:eastAsia="Calibri" w:cs="Calibri"/>
          <w:sz w:val="20"/>
          <w:szCs w:val="20"/>
          <w:lang w:eastAsia="de-DE" w:bidi="de-DE"/>
        </w:rPr>
      </w:pPr>
      <w:r>
        <w:rPr>
          <w:rFonts w:ascii="Palatino Linotype" w:hAnsi="Palatino Linotype" w:eastAsia="Calibri" w:cs="Calibri"/>
          <w:sz w:val="20"/>
          <w:szCs w:val="20"/>
          <w:lang w:eastAsia="de-DE" w:bidi="de-DE"/>
        </w:rPr>
        <w:br w:type="page" w:clear="all"/>
      </w:r>
      <w:r/>
    </w:p>
    <w:p>
      <w:pPr>
        <w:pStyle w:val="814"/>
        <w:ind w:left="0" w:right="0"/>
        <w:spacing w:before="0"/>
        <w:rPr>
          <w:rFonts w:ascii="Palatino Linotype" w:hAnsi="Palatino Linotype"/>
          <w:b/>
          <w:bCs/>
          <w:color w:val="0b474c"/>
          <w:spacing w:val="-22"/>
          <w:sz w:val="24"/>
          <w:szCs w:val="24"/>
        </w:rPr>
        <w:suppressLineNumbers/>
      </w:pPr>
      <w:r>
        <w:rPr>
          <w:rFonts w:ascii="Palatino Linotype" w:hAnsi="Palatino Linotype"/>
          <w:b/>
          <w:bCs/>
          <w:color w:val="0b474c"/>
          <w:spacing w:val="-22"/>
          <w:sz w:val="24"/>
          <w:szCs w:val="24"/>
        </w:rPr>
        <mc:AlternateContent>
          <mc:Choice Requires="wpg">
            <w:drawing>
              <wp:anchor xmlns:wp="http://schemas.openxmlformats.org/drawingml/2006/wordprocessingDrawing" xmlns:wp14="http://schemas.microsoft.com/office/word/2010/wordprocessingDrawing" distT="0" distB="0" distL="114300" distR="114300" simplePos="0" relativeHeight="251676672"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19" name="Rechteck 9"/>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18" o:spid="_x0000_s18" o:spt="1" type="#_x0000_t1" style="position:absolute;z-index:251676672;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b/>
          <w:bCs/>
          <w:color w:val="0b474c"/>
          <w:spacing w:val="-22"/>
          <w:sz w:val="24"/>
          <w:szCs w:val="24"/>
        </w:rPr>
        <w:t xml:space="preserve">M2: Notizblatt</w:t>
      </w:r>
      <w:r/>
    </w:p>
    <w:p>
      <w:pPr>
        <w:rPr>
          <w:rFonts w:ascii="Calibri" w:hAnsi="Calibri" w:cs="Calibri"/>
        </w:rPr>
        <w:outlineLvl w:val="1"/>
      </w:pPr>
      <w:r>
        <w:rPr>
          <w:rFonts w:ascii="Calibri" w:hAnsi="Calibri" w:cs="Calibri"/>
          <w:b/>
          <w:bCs/>
          <w:color w:val="000000"/>
        </w:rPr>
        <mc:AlternateContent>
          <mc:Choice Requires="wpg">
            <w:drawing>
              <wp:inline xmlns:wp="http://schemas.openxmlformats.org/drawingml/2006/wordprocessingDrawing" distT="0" distB="0" distL="0" distR="0">
                <wp:extent cx="8570716" cy="6035970"/>
                <wp:effectExtent l="0" t="8890" r="0" b="0"/>
                <wp:docPr id="20" name="Grafik 1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Screenshot enthält.&#10;&#10;Automatisch generierte Beschreibung"/>
                        <pic:cNvPicPr>
                          <a:picLocks noChangeAspect="1"/>
                        </pic:cNvPicPr>
                        <pic:nvPr/>
                      </pic:nvPicPr>
                      <pic:blipFill>
                        <a:blip r:embed="rId28"/>
                        <a:stretch/>
                      </pic:blipFill>
                      <pic:spPr bwMode="auto">
                        <a:xfrm rot="16199999">
                          <a:off x="0" y="0"/>
                          <a:ext cx="8597448" cy="6054796"/>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674.9pt;height:475.3pt;mso-wrap-distance-left:0.0pt;mso-wrap-distance-top:0.0pt;mso-wrap-distance-right:0.0pt;mso-wrap-distance-bottom:0.0pt;rotation:269;" stroked="f">
                <v:path textboxrect="0,0,0,0"/>
                <v:imagedata r:id="rId28" o:title=""/>
              </v:shape>
            </w:pict>
          </mc:Fallback>
        </mc:AlternateContent>
      </w:r>
      <w:r/>
    </w:p>
    <w:p>
      <w:pPr>
        <w:rPr>
          <w:rFonts w:ascii="Calibri" w:hAnsi="Calibri" w:eastAsia="Times New Roman" w:cs="Calibri"/>
          <w:b/>
          <w:bCs/>
          <w:color w:val="000000"/>
          <w:lang w:eastAsia="de-DE"/>
        </w:rPr>
        <w:outlineLvl w:val="1"/>
      </w:pPr>
      <w:r>
        <w:rPr>
          <w:rFonts w:ascii="Calibri" w:hAnsi="Calibri" w:eastAsia="Times New Roman" w:cs="Calibri"/>
          <w:b/>
          <w:bCs/>
          <w:color w:val="000000"/>
          <w:lang w:eastAsia="de-DE"/>
        </w:rPr>
      </w:r>
      <w:r/>
    </w:p>
    <w:p>
      <w:pPr>
        <w:pStyle w:val="814"/>
        <w:ind w:left="0" w:right="0"/>
        <w:spacing w:before="0" w:after="240"/>
        <w:rPr>
          <w:rFonts w:ascii="Palatino Linotype" w:hAnsi="Palatino Linotype"/>
          <w:b/>
          <w:bCs/>
          <w:color w:val="0b474c"/>
          <w:spacing w:val="-22"/>
          <w:sz w:val="24"/>
          <w:szCs w:val="24"/>
        </w:rPr>
        <w:suppressLineNumbers/>
      </w:pPr>
      <w:r>
        <w:rPr>
          <w:rFonts w:ascii="Palatino Linotype" w:hAnsi="Palatino Linotype"/>
          <w:b/>
          <w:bCs/>
          <w:color w:val="0b474c"/>
          <w:spacing w:val="-22"/>
          <w:sz w:val="24"/>
          <w:szCs w:val="24"/>
        </w:rPr>
        <w:t xml:space="preserve">M3: Beispielfragen zu den Erfahrungen der Personen</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„Wurde Ihre Familie nach dem Krieg entschädigt?“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„Wie war das Leben Ihrer Familie in der Nachkriegszeit?“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„Welche Bedeutung hatte die Bürgerrechtsbewegung für die Sinti und Roma in Deutschland?“</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„Welche Rolle hat der Holocaust während Ihrer Kindheit gespielt?“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mc:AlternateContent>
          <mc:Choice Requires="wpg">
            <w:drawing>
              <wp:anchor xmlns:wp="http://schemas.openxmlformats.org/drawingml/2006/wordprocessingDrawing" xmlns:wp14="http://schemas.microsoft.com/office/word/2010/wordprocessingDrawing" distT="0" distB="0" distL="114300" distR="114300" simplePos="0" relativeHeight="251677696"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21" name="Rechteck 10"/>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20" o:spid="_x0000_s20" o:spt="1" type="#_x0000_t1" style="position:absolute;z-index:251677696;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rPr>
        <w:t xml:space="preserve">„Können Sie uns kurz über das Schicksal Ihrer Familie während des Holocaust erzählen?“</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„Wie kam Ihre Familie mit den Erlebnissen während des Nationalsozialismus zurecht?“</w:t>
      </w:r>
      <w:r/>
    </w:p>
    <w:p>
      <w:pPr>
        <w:pStyle w:val="814"/>
        <w:ind w:left="0" w:right="0"/>
        <w:spacing w:before="240" w:after="240"/>
        <w:rPr>
          <w:rFonts w:ascii="Palatino Linotype" w:hAnsi="Palatino Linotype"/>
          <w:b/>
          <w:bCs/>
          <w:color w:val="0b474c"/>
          <w:spacing w:val="-22"/>
          <w:sz w:val="24"/>
          <w:szCs w:val="24"/>
        </w:rPr>
        <w:suppressLineNumbers/>
      </w:pPr>
      <w:r>
        <w:rPr>
          <w:rFonts w:ascii="Palatino Linotype" w:hAnsi="Palatino Linotype"/>
          <w:b/>
          <w:bCs/>
          <w:color w:val="0b474c"/>
          <w:spacing w:val="-22"/>
          <w:sz w:val="24"/>
          <w:szCs w:val="24"/>
        </w:rPr>
        <w:t xml:space="preserve">M4: Tagesschau</w:t>
      </w:r>
      <w:r/>
    </w:p>
    <w:p>
      <w:pPr>
        <w:rPr>
          <w:rFonts w:ascii="Palatino Linotype" w:hAnsi="Palatino Linotype" w:cs="Calibri"/>
          <w:sz w:val="20"/>
          <w:szCs w:val="20"/>
          <w:lang w:val="en-US" w:eastAsia="de-DE"/>
        </w:rPr>
        <w:suppressLineNumbers/>
      </w:pPr>
      <w:r>
        <w:rPr>
          <w:rFonts w:ascii="Palatino Linotype" w:hAnsi="Palatino Linotype" w:eastAsia="Times New Roman" w:cs="Calibri"/>
          <w:color w:val="000000"/>
          <w:sz w:val="20"/>
          <w:szCs w:val="20"/>
          <w:lang w:val="en-US" w:eastAsia="de-DE"/>
        </w:rPr>
        <w:t xml:space="preserve">Link: </w:t>
      </w:r>
      <w:hyperlink r:id="rId29" w:tooltip="https://www.tagesschau.de/inland/faq-sinti-roma-101.html" w:history="1">
        <w:r>
          <w:rPr>
            <w:rStyle w:val="820"/>
            <w:rFonts w:ascii="Palatino Linotype" w:hAnsi="Palatino Linotype" w:eastAsia="Times New Roman" w:cs="Calibri"/>
            <w:sz w:val="20"/>
            <w:szCs w:val="20"/>
            <w:lang w:val="en-US" w:eastAsia="de-DE"/>
          </w:rPr>
          <w:t xml:space="preserve">https://www.tagesschau.de/inland/faq-sinti-roma-101.html</w:t>
        </w:r>
      </w:hyperlink>
      <w:r/>
      <w:r/>
    </w:p>
    <w:p>
      <w:pPr>
        <w:jc w:val="both"/>
        <w:spacing w:before="120" w:after="120"/>
        <w:rPr>
          <w:rFonts w:ascii="Palatino Linotype" w:hAnsi="Palatino Linotype" w:eastAsia="Times New Roman" w:cs="Calibri"/>
          <w:color w:val="000000"/>
          <w:sz w:val="20"/>
          <w:szCs w:val="20"/>
          <w:lang w:eastAsia="de-DE"/>
        </w:rPr>
        <w:suppressLineNumbers/>
      </w:pPr>
      <w:r>
        <w:rPr>
          <w:rFonts w:ascii="Palatino Linotype" w:hAnsi="Palatino Linotype" w:eastAsia="Times New Roman" w:cs="Calibri"/>
          <w:color w:val="000000"/>
          <w:sz w:val="20"/>
          <w:szCs w:val="20"/>
          <w:lang w:eastAsia="de-DE"/>
        </w:rPr>
        <w:t xml:space="preserve">Urteil zur Verfolgung von Sinti und Roma</w:t>
      </w:r>
      <w:r/>
    </w:p>
    <w:p>
      <w:pPr>
        <w:jc w:val="both"/>
        <w:spacing w:before="120" w:after="120"/>
        <w:rPr>
          <w:rFonts w:ascii="Palatino Linotype" w:hAnsi="Palatino Linotype" w:eastAsia="Times New Roman" w:cs="Calibri"/>
          <w:b/>
          <w:bCs/>
          <w:color w:val="000000"/>
          <w:sz w:val="20"/>
          <w:szCs w:val="20"/>
          <w:lang w:eastAsia="de-DE"/>
        </w:rPr>
        <w:suppressLineNumbers/>
      </w:pPr>
      <w:r>
        <w:rPr>
          <w:rFonts w:ascii="Palatino Linotype" w:hAnsi="Palatino Linotype" w:eastAsia="Times New Roman" w:cs="Calibri"/>
          <w:b/>
          <w:bCs/>
          <w:color w:val="000000"/>
          <w:sz w:val="20"/>
          <w:szCs w:val="20"/>
          <w:lang w:eastAsia="de-DE"/>
        </w:rPr>
        <mc:AlternateContent>
          <mc:Choice Requires="wpg">
            <w:drawing>
              <wp:anchor xmlns:wp="http://schemas.openxmlformats.org/drawingml/2006/wordprocessingDrawing" xmlns:wp14="http://schemas.microsoft.com/office/word/2010/wordprocessingDrawing" distT="0" distB="0" distL="114300" distR="114300" simplePos="0" relativeHeight="251678720"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22" name="Rechteck 12"/>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21" o:spid="_x0000_s21" o:spt="1" type="#_x0000_t1" style="position:absolute;z-index:251678720;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Times New Roman" w:cs="Calibri"/>
          <w:b/>
          <w:bCs/>
          <w:color w:val="000000"/>
          <w:sz w:val="20"/>
          <w:szCs w:val="20"/>
          <w:lang w:eastAsia="de-DE"/>
        </w:rPr>
        <w:t xml:space="preserve">Als der </w:t>
      </w:r>
      <w:r>
        <w:rPr>
          <w:rFonts w:ascii="Palatino Linotype" w:hAnsi="Palatino Linotype" w:eastAsia="Times New Roman" w:cs="Calibri"/>
          <w:b/>
          <w:bCs/>
          <w:color w:val="000000"/>
          <w:sz w:val="20"/>
          <w:szCs w:val="20"/>
          <w:lang w:eastAsia="de-DE"/>
        </w:rPr>
        <w:t xml:space="preserve">BGH Unrecht</w:t>
      </w:r>
      <w:r>
        <w:rPr>
          <w:rFonts w:ascii="Palatino Linotype" w:hAnsi="Palatino Linotype" w:eastAsia="Times New Roman" w:cs="Calibri"/>
          <w:b/>
          <w:bCs/>
          <w:color w:val="000000"/>
          <w:sz w:val="20"/>
          <w:szCs w:val="20"/>
          <w:lang w:eastAsia="de-DE"/>
        </w:rPr>
        <w:t xml:space="preserve"> sprach</w:t>
      </w:r>
      <w:r/>
    </w:p>
    <w:p>
      <w:pPr>
        <w:jc w:val="both"/>
        <w:widowControl w:val="off"/>
        <w:rPr>
          <w:rFonts w:ascii="Palatino Linotype" w:hAnsi="Palatino Linotype" w:eastAsia="Arial Narrow" w:cs="Arial Narrow"/>
          <w:i/>
          <w:iCs/>
          <w:color w:val="0b474c"/>
          <w:sz w:val="20"/>
          <w:szCs w:val="20"/>
          <w:lang w:eastAsia="de-DE" w:bidi="de-DE"/>
        </w:rPr>
        <w:suppressLineNumbers/>
      </w:pPr>
      <w:r>
        <w:rPr>
          <w:rFonts w:ascii="Palatino Linotype" w:hAnsi="Palatino Linotype" w:eastAsia="Arial Narrow" w:cs="Arial Narrow"/>
          <w:i/>
          <w:iCs/>
          <w:color w:val="0b474c"/>
          <w:sz w:val="20"/>
          <w:szCs w:val="20"/>
          <w:lang w:eastAsia="de-DE" w:bidi="de-DE"/>
        </w:rPr>
        <w:t xml:space="preserve">In einem Grundsatzurteil aus dem Jahr 1956 befasste sich der Bundesgerichtshof (BGH) mit der Verfolgung der Sinti und Roma in der Nazizeit. Mit einer diskriminierenden und rassistischen Begründung verwehrte er den Verfolgten ein</w:t>
      </w:r>
      <w:r>
        <w:rPr>
          <w:rFonts w:ascii="Palatino Linotype" w:hAnsi="Palatino Linotype" w:eastAsia="Arial Narrow" w:cs="Arial Narrow"/>
          <w:i/>
          <w:iCs/>
          <w:color w:val="0b474c"/>
          <w:sz w:val="20"/>
          <w:szCs w:val="20"/>
          <w:lang w:eastAsia="de-DE" w:bidi="de-DE"/>
        </w:rPr>
        <w:t xml:space="preserve">e Entschädigung. Rund 60 Jahre später arbeitet der BGH diese Rechtsprechung in einem gemeinsamen Symposium mit dem Zentralrat der Sinti und Roma auf. tagesschau.de klärt die Frage, wie es zu einem solchen Urteil elf Jahre nach dem Kriegsende kommen konnte.</w:t>
      </w:r>
      <w:r/>
    </w:p>
    <w:p>
      <w:pPr>
        <w:jc w:val="both"/>
        <w:rPr>
          <w:rFonts w:ascii="Palatino Linotype" w:hAnsi="Palatino Linotype" w:eastAsia="Times New Roman" w:cs="Calibri"/>
          <w:color w:val="000000"/>
          <w:sz w:val="20"/>
          <w:szCs w:val="20"/>
          <w:lang w:eastAsia="de-DE"/>
        </w:rPr>
        <w:suppressLineNumbers/>
      </w:pPr>
      <w:r>
        <w:rPr>
          <w:rFonts w:ascii="Palatino Linotype" w:hAnsi="Palatino Linotype" w:eastAsia="Times New Roman" w:cs="Calibri"/>
          <w:i/>
          <w:iCs/>
          <w:color w:val="000000"/>
          <w:sz w:val="20"/>
          <w:szCs w:val="20"/>
          <w:lang w:eastAsia="de-DE"/>
        </w:rPr>
        <w:t xml:space="preserve">Von Kerstin </w:t>
      </w:r>
      <w:r>
        <w:rPr>
          <w:rFonts w:ascii="Palatino Linotype" w:hAnsi="Palatino Linotype" w:eastAsia="Times New Roman" w:cs="Calibri"/>
          <w:i/>
          <w:iCs/>
          <w:color w:val="000000"/>
          <w:sz w:val="20"/>
          <w:szCs w:val="20"/>
          <w:lang w:eastAsia="de-DE"/>
        </w:rPr>
        <w:t xml:space="preserve">Anabah</w:t>
      </w:r>
      <w:r>
        <w:rPr>
          <w:rFonts w:ascii="Palatino Linotype" w:hAnsi="Palatino Linotype" w:eastAsia="Times New Roman" w:cs="Calibri"/>
          <w:i/>
          <w:iCs/>
          <w:color w:val="000000"/>
          <w:sz w:val="20"/>
          <w:szCs w:val="20"/>
          <w:lang w:eastAsia="de-DE"/>
        </w:rPr>
        <w:t xml:space="preserve"> und Kolja Schwartz, SWR, ARD-Rechtsredaktion</w:t>
      </w:r>
      <w:r/>
    </w:p>
    <w:p>
      <w:pPr>
        <w:jc w:val="both"/>
        <w:rPr>
          <w:rFonts w:ascii="Palatino Linotype" w:hAnsi="Palatino Linotype" w:eastAsia="Times New Roman" w:cs="Calibri"/>
          <w:color w:val="000000"/>
          <w:sz w:val="20"/>
          <w:szCs w:val="20"/>
          <w:lang w:eastAsia="de-DE"/>
        </w:rPr>
        <w:suppressLineNumbers/>
      </w:pPr>
      <w:r>
        <w:rPr>
          <w:rFonts w:ascii="Palatino Linotype" w:hAnsi="Palatino Linotype" w:eastAsia="Times New Roman" w:cs="Calibri"/>
          <w:color w:val="000000"/>
          <w:sz w:val="20"/>
          <w:szCs w:val="20"/>
          <w:lang w:eastAsia="de-DE"/>
        </w:rPr>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b/>
          <w:bCs/>
          <w:color w:val="000000"/>
          <w:sz w:val="20"/>
          <w:szCs w:val="20"/>
          <w:lang w:eastAsia="de-DE"/>
        </w:rPr>
        <w:t xml:space="preserve">Wie erging es den Sinti und Roma in der Nazizeit?</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w:t xml:space="preserve">In einem Schnellbrief ordnete Heinrich Himmler am 27. April 1940 die Deportation von 2500 Sinti und Roma an. Mitte Mai 1940 begannen d</w:t>
      </w:r>
      <w:r>
        <w:rPr>
          <w:rFonts w:ascii="Palatino Linotype" w:hAnsi="Palatino Linotype" w:eastAsia="Times New Roman" w:cs="Calibri"/>
          <w:color w:val="000000"/>
          <w:sz w:val="20"/>
          <w:szCs w:val="20"/>
          <w:lang w:eastAsia="de-DE"/>
        </w:rPr>
        <w:t xml:space="preserve">ie Transporte. Ihr Ziel waren die Ghettos und Konzentrationslager im besetzten Polen. Für die Mehrzahl der deportierten Männer, Frauen und Kinder war es eine Fahrt in den Tod. Das zurückgebliebene Vermögen wurde als "volks- und staatsfeindlich" eingezogen.</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w:t xml:space="preserve">Europaweit fielen nach Schätzungen bis zum Kriegsende bis zu einer halben Million Sinti und Roma der Vernichtungspolitik der Nazis zum Opfer. Sukzessive planten diese nach der Machtergreifung die Endlösung der "Zigeunerf</w:t>
      </w:r>
      <w:r>
        <w:rPr>
          <w:rFonts w:ascii="Palatino Linotype" w:hAnsi="Palatino Linotype" w:eastAsia="Times New Roman" w:cs="Calibri"/>
          <w:color w:val="000000"/>
          <w:sz w:val="20"/>
          <w:szCs w:val="20"/>
          <w:lang w:eastAsia="de-DE"/>
        </w:rPr>
        <w:t xml:space="preserve">rage". Nur 4000 bis 5000 Sinti und Roma überlebten die Konzentrationslager. Nach dem Kriegsende kämpften sie darum, eine Entschädigung zu bekommen. Doch die Karlsruher Richter am Bundesgerichtshof verweigerten ihnen diese in einem Grundsatzurteil von 1956.</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b/>
          <w:bCs/>
          <w:color w:val="000000"/>
          <w:sz w:val="20"/>
          <w:szCs w:val="20"/>
          <w:lang w:eastAsia="de-DE"/>
        </w:rPr>
        <w:t xml:space="preserve">Was hat der Bundesgerichtshof damals entschieden?</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w:t xml:space="preserve">Nach dem Bundese</w:t>
      </w:r>
      <w:r>
        <w:rPr>
          <w:rFonts w:ascii="Palatino Linotype" w:hAnsi="Palatino Linotype" w:eastAsia="Times New Roman" w:cs="Calibri"/>
          <w:color w:val="000000"/>
          <w:sz w:val="20"/>
          <w:szCs w:val="20"/>
          <w:lang w:eastAsia="de-DE"/>
        </w:rPr>
        <w:t xml:space="preserve">ntschädigungsgesetz (BEG) war Voraussetzung für eine Entschädigung, dass jemand aus "rassischen Gründen" verfolgt wurde. Die meisten Gerichte und Behörden nahmen eine Verfolgung der Sinti und Roma aus "Gründen der Rasse" jedoch erst ab dem 1. März 1943 an.</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w:t xml:space="preserve">Dies bestätigten die höchsten deutschen Richter in ihrem Grundsatzurteil vom 7. Januar 1956 - in</w:t>
      </w:r>
      <w:r>
        <w:rPr>
          <w:rFonts w:ascii="Palatino Linotype" w:hAnsi="Palatino Linotype" w:eastAsia="Times New Roman" w:cs="Calibri"/>
          <w:color w:val="000000"/>
          <w:sz w:val="20"/>
          <w:szCs w:val="20"/>
          <w:lang w:eastAsia="de-DE"/>
        </w:rPr>
        <w:t xml:space="preserve"> krassen Worten. Alle staatlichen Verfolgungsmaßnahmen vor 1943 seien legitim gewesen, weil sie von "Zigeunern" durch "eigene Asozialität, Kriminalität und Wandertrieb" selbst veranlasst gewesen seien. Eine wesentliche Passage aus dem Urteil: "Sie neigen, </w:t>
      </w:r>
      <w:r>
        <w:rPr>
          <w:rFonts w:ascii="Palatino Linotype" w:hAnsi="Palatino Linotype" w:eastAsia="Times New Roman" w:cs="Calibri"/>
          <w:color w:val="000000"/>
          <w:sz w:val="20"/>
          <w:szCs w:val="20"/>
          <w:lang w:eastAsia="de-DE"/>
        </w:rPr>
        <w:t xml:space="preserve">wie die Erfahrung zeigt, zur Kriminalität, besonders zu Diebstählen und Betrügereien, es fehlen ihnen vielfach die sittlichen Antriebe der Achtung vor fremdem Eigentum, weil ihnen wie primitiven Urmenschen ein ungehemmter Okkupationstrieb eigen ist." [...]</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b/>
          <w:bCs/>
          <w:color w:val="000000"/>
          <w:sz w:val="20"/>
          <w:szCs w:val="20"/>
          <w:lang w:eastAsia="de-DE"/>
        </w:rPr>
        <w:t xml:space="preserve">Welche Folgen hatte das Urteil?</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w:t xml:space="preserve">Mit dem Urteil war die Entschädigungsfrage für den Zeitraum bis 1943 höchstrichterlich geklärt. Und zwar zum Nachteil der Sinti und Roma. Erst Ende 1963 änderte der BGH seine Rechtsprechung. Er stellte zumindest fest, dass für di</w:t>
      </w:r>
      <w:r>
        <w:rPr>
          <w:rFonts w:ascii="Palatino Linotype" w:hAnsi="Palatino Linotype" w:eastAsia="Times New Roman" w:cs="Calibri"/>
          <w:color w:val="000000"/>
          <w:sz w:val="20"/>
          <w:szCs w:val="20"/>
          <w:lang w:eastAsia="de-DE"/>
        </w:rPr>
        <w:t xml:space="preserve">e Verfolgung vor 1943 "rassepolitische Gründe mit ursächlich" gewesen seien. Zu spät für die meisten Sinti und Roma. Zwar regelte der Gesetzgeber, dass viele einen neuen Antrag auf Entschädigung stellen durften, wenn der erste Antrag wegen des BGH-Urteils </w:t>
      </w:r>
      <w:r>
        <w:rPr>
          <w:rFonts w:ascii="Palatino Linotype" w:hAnsi="Palatino Linotype" w:eastAsia="Times New Roman" w:cs="Calibri"/>
          <w:color w:val="000000"/>
          <w:sz w:val="20"/>
          <w:szCs w:val="20"/>
          <w:lang w:eastAsia="de-DE"/>
        </w:rPr>
        <w:t xml:space="preserve">zurückgewiesen worden war. Sinti und Roma, die auf Grund der ablehnenden höchstrichterlichen Rechtsprechung erst gar keinen Antrag gestellt hatten, gingen jedoch leer aus. [...]</w:t>
      </w:r>
      <w:r/>
    </w:p>
    <w:p>
      <w:pPr>
        <w:jc w:val="both"/>
        <w:rPr>
          <w:rFonts w:ascii="Palatino Linotype" w:hAnsi="Palatino Linotype" w:eastAsia="Times New Roman" w:cs="Calibri"/>
          <w:color w:val="000000"/>
          <w:sz w:val="20"/>
          <w:szCs w:val="20"/>
          <w:lang w:eastAsia="de-DE"/>
        </w:rPr>
      </w:pPr>
      <w:r>
        <w:rPr>
          <w:rFonts w:ascii="Palatino Linotype" w:hAnsi="Palatino Linotype" w:eastAsia="Times New Roman" w:cs="Calibri"/>
          <w:color w:val="000000"/>
          <w:sz w:val="20"/>
          <w:szCs w:val="20"/>
          <w:lang w:eastAsia="de-DE"/>
        </w:rPr>
        <mc:AlternateContent>
          <mc:Choice Requires="wpg">
            <w:drawing>
              <wp:anchor xmlns:wp="http://schemas.openxmlformats.org/drawingml/2006/wordprocessingDrawing" xmlns:wp14="http://schemas.microsoft.com/office/word/2010/wordprocessingDrawing" distT="0" distB="0" distL="114300" distR="114300" simplePos="0" relativeHeight="251679744"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23" name="Rechteck 13"/>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22" o:spid="_x0000_s22" o:spt="1" type="#_x0000_t1" style="position:absolute;z-index:251679744;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Times New Roman" w:cs="Calibri"/>
          <w:color w:val="000000"/>
          <w:sz w:val="20"/>
          <w:szCs w:val="20"/>
          <w:lang w:eastAsia="de-DE"/>
        </w:rPr>
        <w:t xml:space="preserve">Im vergangenen Jahr entschuldigte sich die neue Präsidentin des Bundesgerichtshofs, Bettina </w:t>
      </w:r>
      <w:r>
        <w:rPr>
          <w:rFonts w:ascii="Palatino Linotype" w:hAnsi="Palatino Linotype" w:eastAsia="Times New Roman" w:cs="Calibri"/>
          <w:color w:val="000000"/>
          <w:sz w:val="20"/>
          <w:szCs w:val="20"/>
          <w:lang w:eastAsia="de-DE"/>
        </w:rPr>
        <w:t xml:space="preserve">Limperg</w:t>
      </w:r>
      <w:r>
        <w:rPr>
          <w:rFonts w:ascii="Palatino Linotype" w:hAnsi="Palatino Linotype" w:eastAsia="Times New Roman" w:cs="Calibri"/>
          <w:color w:val="000000"/>
          <w:sz w:val="20"/>
          <w:szCs w:val="20"/>
          <w:lang w:eastAsia="de-DE"/>
        </w:rPr>
        <w:t xml:space="preserve">, bereits öffentlich für die frühere Rechtsprechung. Bei einem Besuch des Dokumentations- und Kulturzentrums Deutscher Sinti und Roma in Heidelberg sagte sie, dass es sich um eine "unver</w:t>
      </w:r>
      <w:r>
        <w:rPr>
          <w:rFonts w:ascii="Palatino Linotype" w:hAnsi="Palatino Linotype" w:eastAsia="Times New Roman" w:cs="Calibri"/>
          <w:color w:val="000000"/>
          <w:sz w:val="20"/>
          <w:szCs w:val="20"/>
          <w:lang w:eastAsia="de-DE"/>
        </w:rPr>
        <w:t xml:space="preserve">tretbare Rechtsprechung" handele, die man auch "nicht schönreden will" und für die "man sich nur schämen könne". Heute, 60 Jahre nach dem Urteil, veranstaltet der Bundesgerichtshof gemeinsam mit dem Zentralrat der Sinti und Roma ein Symposium in Karlsruhe.</w:t>
      </w:r>
      <w:r/>
    </w:p>
    <w:p>
      <w:pPr>
        <w:pStyle w:val="814"/>
        <w:ind w:left="0" w:right="0"/>
        <w:spacing w:before="240" w:after="240"/>
        <w:rPr>
          <w:rFonts w:ascii="Palatino Linotype" w:hAnsi="Palatino Linotype"/>
          <w:b/>
          <w:bCs/>
          <w:color w:val="0b474c"/>
          <w:spacing w:val="-22"/>
          <w:sz w:val="24"/>
          <w:szCs w:val="24"/>
        </w:rPr>
        <w:suppressLineNumbers/>
      </w:pPr>
      <w:r>
        <w:rPr>
          <w:rFonts w:ascii="Palatino Linotype" w:hAnsi="Palatino Linotype"/>
          <w:b/>
          <w:bCs/>
          <w:color w:val="0b474c"/>
          <w:spacing w:val="-22"/>
          <w:sz w:val="24"/>
          <w:szCs w:val="24"/>
        </w:rPr>
        <w:t xml:space="preserve">M5: Tagesspiegel</w:t>
      </w:r>
      <w:r/>
    </w:p>
    <w:p>
      <w:pPr>
        <w:spacing w:before="120" w:after="120"/>
        <w:rPr>
          <w:rFonts w:ascii="Palatino Linotype" w:hAnsi="Palatino Linotype" w:eastAsia="Times New Roman" w:cs="Calibri"/>
          <w:color w:val="000000"/>
          <w:sz w:val="20"/>
          <w:szCs w:val="20"/>
          <w:lang w:val="en-US" w:eastAsia="de-DE"/>
        </w:rPr>
        <w:outlineLvl w:val="1"/>
        <w:suppressLineNumbers/>
      </w:pPr>
      <w:r>
        <w:rPr>
          <w:rFonts w:ascii="Palatino Linotype" w:hAnsi="Palatino Linotype" w:eastAsia="Times New Roman" w:cs="Calibri"/>
          <w:color w:val="000000"/>
          <w:sz w:val="20"/>
          <w:szCs w:val="20"/>
          <w:lang w:val="en-US" w:eastAsia="de-DE"/>
        </w:rPr>
        <w:t xml:space="preserve">Link: </w:t>
      </w:r>
      <w:hyperlink r:id="rId30" w:tooltip="https://www.tagesspiegel.de/berlin/roma-und-sinti-furchten-weiter-um-ihr-denkmal-in-berlin-tiergarten-4752145.html" w:history="1">
        <w:r>
          <w:rPr>
            <w:rStyle w:val="820"/>
            <w:rFonts w:ascii="Palatino Linotype" w:hAnsi="Palatino Linotype" w:eastAsia="Times New Roman" w:cs="Calibri"/>
            <w:sz w:val="20"/>
            <w:szCs w:val="20"/>
            <w:lang w:val="en-US" w:eastAsia="de-DE"/>
          </w:rPr>
          <w:t xml:space="preserve">https://www.tagesspiegel.de/berlin/roma-und-sinti-furchten-weiter-um-ihr-denkmal-in-berlin-tiergarten-4752145.html</w:t>
        </w:r>
      </w:hyperlink>
      <w:r/>
      <w:r/>
    </w:p>
    <w:p>
      <w:pPr>
        <w:spacing w:before="120" w:after="120"/>
        <w:rPr>
          <w:rFonts w:ascii="Palatino Linotype" w:hAnsi="Palatino Linotype" w:eastAsia="Times New Roman" w:cs="Calibri"/>
          <w:color w:val="000000"/>
          <w:sz w:val="20"/>
          <w:szCs w:val="20"/>
          <w:lang w:eastAsia="de-DE"/>
        </w:rPr>
        <w:outlineLvl w:val="1"/>
        <w:suppressLineNumbers/>
      </w:pPr>
      <w:r>
        <w:rPr>
          <w:rFonts w:ascii="Palatino Linotype" w:hAnsi="Palatino Linotype" w:eastAsia="Times New Roman" w:cs="Calibri"/>
          <w:color w:val="000000"/>
          <w:sz w:val="20"/>
          <w:szCs w:val="20"/>
          <w:lang w:eastAsia="de-DE"/>
        </w:rPr>
        <w:t xml:space="preserve">Streit um den Bau der S21</w:t>
      </w:r>
      <w:r/>
    </w:p>
    <w:p>
      <w:pPr>
        <w:spacing w:before="120" w:after="120"/>
        <w:rPr>
          <w:rFonts w:ascii="Palatino Linotype" w:hAnsi="Palatino Linotype" w:eastAsia="Times New Roman" w:cs="Calibri"/>
          <w:b/>
          <w:bCs/>
          <w:color w:val="000000"/>
          <w:sz w:val="20"/>
          <w:szCs w:val="20"/>
          <w:lang w:eastAsia="de-DE"/>
        </w:rPr>
        <w:outlineLvl w:val="1"/>
        <w:suppressLineNumbers/>
      </w:pPr>
      <w:r>
        <w:rPr>
          <w:rFonts w:ascii="Palatino Linotype" w:hAnsi="Palatino Linotype" w:eastAsia="Times New Roman" w:cs="Calibri"/>
          <w:b/>
          <w:bCs/>
          <w:color w:val="000000"/>
          <w:sz w:val="20"/>
          <w:szCs w:val="20"/>
          <w:lang w:eastAsia="de-DE"/>
        </w:rPr>
        <w:t xml:space="preserve">Roma und Sinti fürchten weiter um ihr Denkmal in Berlin-Tiergarten</w:t>
      </w:r>
      <w:r/>
    </w:p>
    <w:p>
      <w:pPr>
        <w:jc w:val="both"/>
        <w:widowControl w:val="off"/>
        <w:rPr>
          <w:rFonts w:ascii="Palatino Linotype" w:hAnsi="Palatino Linotype" w:eastAsia="Arial Narrow" w:cs="Arial Narrow"/>
          <w:i/>
          <w:iCs/>
          <w:color w:val="0b474c"/>
          <w:sz w:val="20"/>
          <w:szCs w:val="20"/>
          <w:lang w:eastAsia="de-DE" w:bidi="de-DE"/>
        </w:rPr>
        <w:suppressLineNumbers/>
      </w:pPr>
      <w:r>
        <w:rPr>
          <w:rFonts w:ascii="Palatino Linotype" w:hAnsi="Palatino Linotype" w:eastAsia="Arial Narrow" w:cs="Arial Narrow"/>
          <w:i/>
          <w:iCs/>
          <w:color w:val="0b474c"/>
          <w:sz w:val="20"/>
          <w:szCs w:val="20"/>
          <w:lang w:eastAsia="de-DE" w:bidi="de-DE"/>
        </w:rPr>
        <w:t xml:space="preserve">Roma und Sinti protestieren gegen die Berührung </w:t>
      </w:r>
      <w:r>
        <w:rPr>
          <w:rFonts w:ascii="Palatino Linotype" w:hAnsi="Palatino Linotype" w:eastAsia="Arial Narrow" w:cs="Arial Narrow"/>
          <w:i/>
          <w:iCs/>
          <w:color w:val="0b474c"/>
          <w:sz w:val="20"/>
          <w:szCs w:val="20"/>
          <w:lang w:eastAsia="de-DE" w:bidi="de-DE"/>
        </w:rPr>
        <w:t xml:space="preserve">ihres Denkmal</w:t>
      </w:r>
      <w:r>
        <w:rPr>
          <w:rFonts w:ascii="Palatino Linotype" w:hAnsi="Palatino Linotype" w:eastAsia="Arial Narrow" w:cs="Arial Narrow"/>
          <w:i/>
          <w:iCs/>
          <w:color w:val="0b474c"/>
          <w:sz w:val="20"/>
          <w:szCs w:val="20"/>
          <w:lang w:eastAsia="de-DE" w:bidi="de-DE"/>
        </w:rPr>
        <w:t xml:space="preserve"> durch den Bau der S21. Ein Gespräch mit Senats- und Bahnvertretern brachte keine Klärung.</w:t>
      </w:r>
      <w:r/>
    </w:p>
    <w:p>
      <w:pPr>
        <w:rPr>
          <w:rFonts w:ascii="Palatino Linotype" w:hAnsi="Palatino Linotype" w:eastAsia="Times New Roman" w:cs="Calibri"/>
          <w:color w:val="000000"/>
          <w:sz w:val="20"/>
          <w:szCs w:val="20"/>
          <w:lang w:eastAsia="de-DE"/>
        </w:rPr>
        <w:outlineLvl w:val="1"/>
        <w:suppressLineNumbers/>
      </w:pPr>
      <w:r>
        <w:rPr>
          <w:rFonts w:ascii="Palatino Linotype" w:hAnsi="Palatino Linotype" w:eastAsia="Times New Roman" w:cs="Calibri"/>
          <w:i/>
          <w:iCs/>
          <w:color w:val="000000"/>
          <w:sz w:val="20"/>
          <w:szCs w:val="20"/>
          <w:lang w:eastAsia="de-DE"/>
        </w:rPr>
        <w:t xml:space="preserve">Von Jörn Hasselmann</w:t>
      </w:r>
      <w:r/>
    </w:p>
    <w:p>
      <w:pPr>
        <w:rPr>
          <w:rFonts w:ascii="Palatino Linotype" w:hAnsi="Palatino Linotype" w:eastAsia="Times New Roman" w:cs="Calibri"/>
          <w:color w:val="000000"/>
          <w:sz w:val="20"/>
          <w:szCs w:val="20"/>
          <w:lang w:eastAsia="de-DE"/>
        </w:rPr>
        <w:outlineLvl w:val="1"/>
        <w:suppressLineNumbers/>
      </w:pPr>
      <w:r>
        <w:rPr>
          <w:rFonts w:ascii="Palatino Linotype" w:hAnsi="Palatino Linotype" w:eastAsia="Times New Roman" w:cs="Calibri"/>
          <w:color w:val="000000"/>
          <w:sz w:val="20"/>
          <w:szCs w:val="20"/>
          <w:lang w:eastAsia="de-DE"/>
        </w:rPr>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mc:AlternateContent>
          <mc:Choice Requires="wpg">
            <w:drawing>
              <wp:anchor xmlns:wp="http://schemas.openxmlformats.org/drawingml/2006/wordprocessingDrawing" xmlns:wp14="http://schemas.microsoft.com/office/word/2010/wordprocessingDrawing" distT="0" distB="0" distL="114300" distR="114300" simplePos="0" relativeHeight="251680768"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24" name="Rechteck 14"/>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23" o:spid="_x0000_s23" o:spt="1" type="#_x0000_t1" style="position:absolute;z-index:251680768;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Times New Roman" w:cs="Calibri"/>
          <w:color w:val="000000"/>
          <w:sz w:val="20"/>
          <w:szCs w:val="20"/>
          <w:lang w:eastAsia="de-DE"/>
        </w:rPr>
        <w:t xml:space="preserve">Vertreter von Roma und Sinti fürchten weiter um ihr Denkmal am Reichstag, wenn die Bahn dort einen S-Bahn-Tunnel baut. Am Montagnach</w:t>
      </w:r>
      <w:r>
        <w:rPr>
          <w:rFonts w:ascii="Palatino Linotype" w:hAnsi="Palatino Linotype" w:eastAsia="Times New Roman" w:cs="Calibri"/>
          <w:color w:val="000000"/>
          <w:sz w:val="20"/>
          <w:szCs w:val="20"/>
          <w:lang w:eastAsia="de-DE"/>
        </w:rPr>
        <w:t xml:space="preserve">mittag trafen sich Vertreter der Volksgruppe vor Ort mit Verkehrssenatorin Regine Günther (Grüne) und Alexander Kaczmarek, dem Chef der Deutschen Bahn in Berlin. Beide erklärten erneut das Projekt und versicherten, dass das Denkmal maximal geschützt würde.</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Die Bahn und das Land Berlin planen dort eine neue unterirdische S-Bahn vom Hauptbahnhof nach Süden. „Es ist wohl das schwierigste Gelände, um eine S-Bahn zu bauen“, hatte Kaczmarek schon vor Monaten gesagt. Der viergleis</w:t>
      </w:r>
      <w:r>
        <w:rPr>
          <w:rFonts w:ascii="Palatino Linotype" w:hAnsi="Palatino Linotype" w:eastAsia="Times New Roman" w:cs="Calibri"/>
          <w:color w:val="000000"/>
          <w:sz w:val="20"/>
          <w:szCs w:val="20"/>
          <w:lang w:eastAsia="de-DE"/>
        </w:rPr>
        <w:t xml:space="preserve">ige Fernbahntunnel verläuft in der Nähe, zudem müsse man die U-Bahnlinie U5 unterirdisch überqueren und es gebe das Reichstagsgebäude mit dem geplanten unterirdischen Besucherzentrum und eben den Gedenkort für die ermordeten Roma und Sinti auf der Strecke.</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Die Bahn prüfte mehrere Dutzend Varianten und präsentierte dann vor Monaten die Variante „12h“. Manche </w:t>
      </w:r>
      <w:r>
        <w:rPr>
          <w:rFonts w:ascii="Palatino Linotype" w:hAnsi="Palatino Linotype" w:eastAsia="Times New Roman" w:cs="Calibri"/>
          <w:color w:val="000000"/>
          <w:sz w:val="20"/>
          <w:szCs w:val="20"/>
          <w:lang w:eastAsia="de-DE"/>
        </w:rPr>
        <w:t xml:space="preserve">Verbände sehen das Denkmal dennoch in Gefahr. Nach Angaben des Senats laufen seit Monaten die Gespräche mit den Gruppen, eine Lösung konnte nicht gefunden werden. Nach Angaben des Senats lehnt der Zentralrat der Roma und Sinti den Bau nicht kategorisch ab.</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 </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Die Kritiker werfen der Bahn und der Berliner Verkehrsverwaltung vor, sie nicht in die Planungen einzubeziehen. Die Aktion am Montag stand unter dem Motto „Ohn</w:t>
      </w:r>
      <w:r>
        <w:rPr>
          <w:rFonts w:ascii="Palatino Linotype" w:hAnsi="Palatino Linotype" w:eastAsia="Times New Roman" w:cs="Calibri"/>
          <w:color w:val="000000"/>
          <w:sz w:val="20"/>
          <w:szCs w:val="20"/>
          <w:lang w:eastAsia="de-DE"/>
        </w:rPr>
        <w:t xml:space="preserve">e Stimme, weil ihr nicht hört“. „Weite Teile der Communitys der Sinti* und Roma* in Deutschland sowie Europa werden in den Diskussionen um das Denkmal für die ermordeten Sinti und Roma Europas ignoriert“, teilte der grüne Europaabgeordnete Romeo Franz mit.</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Entworfen wurde das Denkmal vom kürzlich verstorbenen Künstler Dani Karavan. Es besteht aus einem runden Wasserbecken mit schwarzem Grund. In der Beckenmitte steht ei</w:t>
      </w:r>
      <w:r>
        <w:rPr>
          <w:rFonts w:ascii="Palatino Linotype" w:hAnsi="Palatino Linotype" w:eastAsia="Times New Roman" w:cs="Calibri"/>
          <w:color w:val="000000"/>
          <w:sz w:val="20"/>
          <w:szCs w:val="20"/>
          <w:lang w:eastAsia="de-DE"/>
        </w:rPr>
        <w:t xml:space="preserve">ne steinerne Stele, auf der immer eine frische Blume liegt. Wenn diese verwelkt, versinkt der Stein in einen unterirdischen Raum unter dem Becken und die Blume wird ausgetauscht. Zum Denkmal gehört ein akustisches Klangbild, das Romeo Franz komponiert hat.</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 </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Ein Gang müsste verändert, Bäume gefällt werden</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Kaczmarek und Günther bemühten sich am Montag, technische Details</w:t>
      </w:r>
      <w:r>
        <w:rPr>
          <w:rFonts w:ascii="Palatino Linotype" w:hAnsi="Palatino Linotype" w:eastAsia="Times New Roman" w:cs="Calibri"/>
          <w:color w:val="000000"/>
          <w:sz w:val="20"/>
          <w:szCs w:val="20"/>
          <w:lang w:eastAsia="de-DE"/>
        </w:rPr>
        <w:t xml:space="preserve"> zu erläutern. Die Bahn will nach dem derzeitigen Stand der Planung das Areal des Denkmals nicht beeinträchtigen, wohl aber muss der Gang unter dem Denkmal verändert werden. Zudem müssen einige Bäume gefällt werden, die bislang das Wasserbecken abschirmen.</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Diese Eingriffe werden abgelehnt. „Man muss das Denkmal in seiner Gesamtheit als unantastbar erklären“, teilte Franz mit.</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Verkehrssenatorin Regine Günther hatte auf der Gedenkveranstaltung von Sinti und Roma am Holocaust-Gedenktag zugegeben, dass der Tunnelbau das Mahnmal „berühren“ werde</w:t>
      </w:r>
      <w:r>
        <w:rPr>
          <w:rFonts w:ascii="Palatino Linotype" w:hAnsi="Palatino Linotype" w:eastAsia="Times New Roman" w:cs="Calibri"/>
          <w:color w:val="000000"/>
          <w:sz w:val="20"/>
          <w:szCs w:val="20"/>
          <w:lang w:eastAsia="de-DE"/>
        </w:rPr>
        <w:t xml:space="preserve">. Seitdem protestieren die Verbände heftig. Sinti und Roma gilt der Ort im Tiergarten als sichtbare Erinnerung an die Verfolgung in der Nazizeit und auch als Trauerstätte, da es für ihre ermordeten Angehörigen keine Gräber gibt oder sie diese nicht kennen.</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w:t xml:space="preserve"> </w:t>
      </w:r>
      <w:r/>
    </w:p>
    <w:p>
      <w:pPr>
        <w:rPr>
          <w:rFonts w:ascii="Palatino Linotype" w:hAnsi="Palatino Linotype" w:eastAsia="Times New Roman" w:cs="Calibri"/>
          <w:color w:val="000000"/>
          <w:sz w:val="20"/>
          <w:szCs w:val="20"/>
          <w:lang w:eastAsia="de-DE"/>
        </w:rPr>
        <w:outlineLvl w:val="1"/>
      </w:pPr>
      <w:r>
        <w:rPr>
          <w:rFonts w:ascii="Palatino Linotype" w:hAnsi="Palatino Linotype" w:eastAsia="Times New Roman" w:cs="Calibri"/>
          <w:color w:val="000000"/>
          <w:sz w:val="20"/>
          <w:szCs w:val="20"/>
          <w:lang w:eastAsia="de-DE"/>
        </w:rPr>
        <mc:AlternateContent>
          <mc:Choice Requires="wpg">
            <w:drawing>
              <wp:anchor xmlns:wp="http://schemas.openxmlformats.org/drawingml/2006/wordprocessingDrawing" xmlns:wp14="http://schemas.microsoft.com/office/word/2010/wordprocessingDrawing" distT="0" distB="0" distL="114300" distR="114300" simplePos="0" relativeHeight="251681792"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25" name="Rechteck 15"/>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24" o:spid="_x0000_s24" o:spt="1" type="#_x0000_t1" style="position:absolute;z-index:251681792;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eastAsia="Times New Roman" w:cs="Calibri"/>
          <w:color w:val="000000"/>
          <w:sz w:val="20"/>
          <w:szCs w:val="20"/>
          <w:lang w:eastAsia="de-DE"/>
        </w:rPr>
        <w:t xml:space="preserve">Der Konflikt verzögert das Projekt. Ende 2021 soll der erste Abschnitt der meist noch „S21“ genannten Strecke vom</w:t>
      </w:r>
      <w:r>
        <w:rPr>
          <w:rFonts w:ascii="Palatino Linotype" w:hAnsi="Palatino Linotype" w:eastAsia="Times New Roman" w:cs="Calibri"/>
          <w:color w:val="000000"/>
          <w:sz w:val="20"/>
          <w:szCs w:val="20"/>
          <w:lang w:eastAsia="de-DE"/>
        </w:rPr>
        <w:t xml:space="preserve"> Nordring zum Hauptbahnhof fertig sein. Hier hatte es wegen technischer Schwierigkeiten mehrere Jahre Verspätung gegeben. Geplant ist, dass am Reichstag eine Tunnelbohrmaschine unterirdisch arbeitet, am Brandenburger Tor soll es eine offene Baugrube geben.</w:t>
      </w:r>
      <w:r/>
    </w:p>
    <w:p>
      <w:pPr>
        <w:pStyle w:val="814"/>
        <w:ind w:left="0" w:right="0"/>
        <w:spacing w:before="240" w:after="240"/>
        <w:rPr>
          <w:rFonts w:ascii="Palatino Linotype" w:hAnsi="Palatino Linotype"/>
          <w:b/>
          <w:bCs/>
          <w:color w:val="0b474c"/>
          <w:spacing w:val="-22"/>
          <w:sz w:val="24"/>
          <w:szCs w:val="24"/>
        </w:rPr>
        <w:suppressLineNumbers/>
      </w:pPr>
      <w:r>
        <w:rPr>
          <w:rFonts w:ascii="Palatino Linotype" w:hAnsi="Palatino Linotype"/>
          <w:b/>
          <w:bCs/>
          <w:color w:val="0b474c"/>
          <w:spacing w:val="-22"/>
          <w:sz w:val="24"/>
          <w:szCs w:val="24"/>
        </w:rPr>
        <w:t xml:space="preserve">M6: Beispielfragen zur Zufriedenheit und </w:t>
      </w:r>
      <w:r>
        <w:rPr>
          <w:rFonts w:ascii="Palatino Linotype" w:hAnsi="Palatino Linotype"/>
          <w:b/>
          <w:bCs/>
          <w:color w:val="0b474c"/>
          <w:spacing w:val="-22"/>
          <w:sz w:val="24"/>
          <w:szCs w:val="24"/>
        </w:rPr>
        <w:t xml:space="preserve">W</w:t>
      </w:r>
      <w:r>
        <w:rPr>
          <w:rFonts w:ascii="Palatino Linotype" w:hAnsi="Palatino Linotype"/>
          <w:b/>
          <w:bCs/>
          <w:color w:val="0b474c"/>
          <w:spacing w:val="-22"/>
          <w:sz w:val="24"/>
          <w:szCs w:val="24"/>
        </w:rPr>
        <w:t xml:space="preserve">ünschen für die Zukunft?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„Hat Deutschland heute noch ein Problem mit Diskriminierung gegen Sinti und Roma?“</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„Denken Sie, dass Deutschland besser mit seiner Geschichte umgeht als andere Länder?“</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„Wird das Schicksal von Sinti und Roma während des Nationalsozialismus heute angemessen gewürdigt?“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mc:AlternateContent>
          <mc:Choice Requires="wpg">
            <w:drawing>
              <wp:anchor xmlns:wp="http://schemas.openxmlformats.org/drawingml/2006/wordprocessingDrawing" xmlns:wp14="http://schemas.microsoft.com/office/word/2010/wordprocessingDrawing" distT="0" distB="0" distL="114300" distR="114300" simplePos="0" relativeHeight="251682816" behindDoc="0" locked="0" layoutInCell="1" allowOverlap="1">
                <wp:simplePos x="0" y="0"/>
                <wp:positionH relativeFrom="page">
                  <wp:posOffset>7418070</wp:posOffset>
                </wp:positionH>
                <wp:positionV relativeFrom="page">
                  <wp:posOffset>-15240</wp:posOffset>
                </wp:positionV>
                <wp:extent cx="113030" cy="10685780"/>
                <wp:effectExtent l="0" t="0" r="0" b="0"/>
                <wp:wrapNone/>
                <wp:docPr id="26" name="Rechteck 16"/>
                <wp:cNvGraphicFramePr/>
                <a:graphic xmlns:a="http://schemas.openxmlformats.org/drawingml/2006/main">
                  <a:graphicData uri="http://schemas.microsoft.com/office/word/2010/wordprocessingShape">
                    <wps:wsp>
                      <wps:cNvPr id="0" name=""/>
                      <wps:cNvSpPr>
                        <a:spLocks noChangeArrowheads="1"/>
                      </wps:cNvSpPr>
                      <wps:spPr bwMode="auto">
                        <a:xfrm>
                          <a:off x="0" y="0"/>
                          <a:ext cx="113030" cy="10685780"/>
                        </a:xfrm>
                        <a:prstGeom prst="rect">
                          <a:avLst/>
                        </a:prstGeom>
                        <a:solidFill>
                          <a:srgbClr val="FF5900"/>
                        </a:solidFill>
                        <a:ln>
                          <a:noFill/>
                        </a:ln>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25" o:spid="_x0000_s25" o:spt="1" type="#_x0000_t1" style="position:absolute;z-index:251682816;o:allowoverlap:true;o:allowincell:true;mso-position-horizontal-relative:page;margin-left:584.1pt;mso-position-horizontal:absolute;mso-position-vertical-relative:page;margin-top:-1.2pt;mso-position-vertical:absolute;width:8.9pt;height:841.4pt;mso-wrap-distance-left:9.0pt;mso-wrap-distance-top:0.0pt;mso-wrap-distance-right:9.0pt;mso-wrap-distance-bottom:0.0pt;visibility:visible;" fillcolor="#FF5900" stroked="f"/>
            </w:pict>
          </mc:Fallback>
        </mc:AlternateContent>
      </w:r>
      <w:r>
        <w:rPr>
          <w:rFonts w:ascii="Palatino Linotype" w:hAnsi="Palatino Linotype"/>
        </w:rPr>
        <w:t xml:space="preserve">„Wie beurteilen Sie die Arbeit des Zentralrats der Sinti und Roma?“</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„Tragen die jüngeren Generationen heute noch eine Schuld für den Holocaust?“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„Fühlen Sie sich als gleichwertiges Mitglied der Gesellschaft?“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„Denken Sie, dass Sinti und Roma in Deutschland eine Zukunft haben?“</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„Wo erfahren Sie Einschränkungen durch den deutschen Staat?“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„Welche Erfahrungen haben Sie mit Behörden gemacht?“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„Welche Erfahrungen haben Sie mit Polizei und Justiz gemacht?“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„Wurden Sie bei der Jobsuche oder Arbeit schon einmal rassistisch behandelt?“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„Was würden Sie sich von der Politik wünschen?“</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„Worin würde die Anerkennung von Sinti und Roma bestehen?“</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„Welche Hilfe brauchen Sinti und Roma vom deutschen Staat?“</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„Wie sollte man Sinti und Roma unterstützen?“</w:t>
      </w:r>
      <w:r/>
    </w:p>
    <w:p>
      <w:pPr>
        <w:pStyle w:val="838"/>
        <w:numPr>
          <w:ilvl w:val="0"/>
          <w:numId w:val="15"/>
        </w:numPr>
        <w:ind w:left="284" w:hanging="284"/>
        <w:jc w:val="both"/>
        <w:spacing w:after="60"/>
        <w:tabs>
          <w:tab w:val="left" w:pos="284" w:leader="none"/>
        </w:tabs>
        <w:rPr>
          <w:rFonts w:ascii="Palatino Linotype" w:hAnsi="Palatino Linotype"/>
        </w:rPr>
        <w:suppressLineNumbers/>
      </w:pPr>
      <w:r>
        <w:rPr>
          <w:rFonts w:ascii="Palatino Linotype" w:hAnsi="Palatino Linotype"/>
        </w:rPr>
        <w:t xml:space="preserve">„Was macht der Staat bei der Förderung von Sinti und Roma falsch?“</w:t>
      </w:r>
      <w:r/>
    </w:p>
    <w:sectPr>
      <w:footnotePr/>
      <w:endnotePr/>
      <w:type w:val="nextPage"/>
      <w:pgSz w:w="11906" w:h="16838" w:orient="portrait"/>
      <w:pgMar w:top="1418" w:right="1418" w:bottom="1134" w:left="1418" w:header="709" w:footer="709" w:gutter="0"/>
      <w:lnNumType w:countBy="5"/>
      <w:cols w:num="1" w:sep="0" w:space="708" w:equalWidth="1"/>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Lisa Schwendemann" w:date="2023-03-31T07:15:36Z" w:initials="LS">
    <w:p w14:paraId="00000001" w14:textId="00000001">
      <w:pPr>
        <w:spacing w:line="240" w:after="0" w:lineRule="auto" w:before="0"/>
        <w:ind w:firstLine="0" w:left="0" w:right="0"/>
        <w:jc w:val="left"/>
      </w:pPr>
      <w:r>
        <w:rPr>
          <w:rFonts w:eastAsia="Arial" w:ascii="Arial" w:hAnsi="Arial" w:cs="Arial"/>
          <w:sz w:val="22"/>
        </w:rPr>
        <w:t xml:space="preserve">Anmerkung: Das interaktive Zeugnis zu den zehn Menschen aus der Gruppe der deutschsprachigen Sinti und Roma ist derzeit nur auf Android-Geräten abspielbar.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3AAFFF0D" w16cex:dateUtc="2023-03-31T05:15:36Z"/>
</w16cex:commentsExtensible>
</file>

<file path=word/commentsIds.xml><?xml version="1.0" encoding="utf-8"?>
<w16cid:commentsIds xmlns:mc="http://schemas.openxmlformats.org/markup-compatibility/2006" xmlns:w16cid="http://schemas.microsoft.com/office/word/2016/wordml/cid" mc:Ignorable="w16cid">
  <w16cid:commentId w16cid:paraId="00000001" w16cid:durableId="3AAFFF0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r>
        <w:separator/>
      </w:r>
      <w:r/>
    </w:p>
  </w:endnote>
  <w:endnote w:type="continuationSeparator" w:id="0">
    <w:p>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alatino Linotype">
    <w:panose1 w:val="02040502050405020303"/>
  </w:font>
  <w:font w:name="Symbol">
    <w:panose1 w:val="05010000000000000000"/>
  </w:font>
  <w:font w:name="Courier New">
    <w:panose1 w:val="02070309020205020404"/>
  </w:font>
  <w:font w:name="Wingdings">
    <w:panose1 w:val="05010000000000000000"/>
  </w:font>
  <w:font w:name="Calibri">
    <w:panose1 w:val="020F0502020204030204"/>
  </w:font>
  <w:font w:name="Arial Narrow">
    <w:panose1 w:val="020B0604020202020204"/>
  </w:font>
  <w:font w:name="Times New Roman">
    <w:panose1 w:val="02020603050405020304"/>
  </w:font>
  <w:font w:name="Arial">
    <w:panose1 w:val="020B0604020202020204"/>
  </w:font>
  <w:font w:name="Cambria">
    <w:panose1 w:val="020206030504050203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pPr w:horzAnchor="margin" w:tblpXSpec="center" w:vertAnchor="page" w:tblpYSpec="bottom" w:leftFromText="187" w:topFromText="0" w:rightFromText="187" w:bottomFromText="0"/>
      <w:tblW w:w="5000" w:type="pct"/>
      <w:tblLayout w:type="fixed"/>
      <w:tblLook w:val="04A0" w:firstRow="1" w:lastRow="0" w:firstColumn="1" w:lastColumn="0" w:noHBand="0" w:noVBand="1"/>
    </w:tblPr>
    <w:tblGrid>
      <w:gridCol w:w="8647"/>
      <w:gridCol w:w="425"/>
    </w:tblGrid>
    <w:tr>
      <w:trPr>
        <w:trHeight w:val="727"/>
      </w:trPr>
      <w:tc>
        <w:tcPr>
          <w:tcBorders>
            <w:right w:val="single" w:color="4472C4" w:themeColor="accent1" w:sz="4" w:space="0"/>
          </w:tcBorders>
          <w:tcW w:w="4766" w:type="pct"/>
          <w:textDirection w:val="lrTb"/>
          <w:noWrap w:val="false"/>
        </w:tcPr>
        <w:p>
          <w:pPr>
            <w:jc w:val="right"/>
            <w:tabs>
              <w:tab w:val="left" w:pos="620" w:leader="none"/>
              <w:tab w:val="center" w:pos="4320" w:leader="none"/>
            </w:tabs>
            <w:rPr>
              <w:rFonts w:asciiTheme="majorHAnsi" w:hAnsiTheme="majorHAnsi" w:eastAsiaTheme="majorEastAsia" w:cstheme="majorBidi"/>
              <w:sz w:val="20"/>
              <w:szCs w:val="20"/>
            </w:rPr>
          </w:pPr>
          <w:r>
            <w:rPr>
              <w:rFonts w:asciiTheme="majorHAnsi" w:hAnsiTheme="majorHAnsi" w:eastAsiaTheme="majorEastAsia" w:cstheme="majorBidi"/>
              <w:sz w:val="20"/>
              <w:szCs w:val="20"/>
            </w:rPr>
          </w:r>
          <w:r/>
        </w:p>
      </w:tc>
      <w:tc>
        <w:tcPr>
          <w:tcBorders>
            <w:left w:val="single" w:color="4472C4" w:themeColor="accent1" w:sz="4" w:space="0"/>
          </w:tcBorders>
          <w:tcW w:w="234" w:type="pct"/>
          <w:textDirection w:val="lrTb"/>
          <w:noWrap w:val="false"/>
        </w:tcPr>
        <w:p>
          <w:pPr>
            <w:tabs>
              <w:tab w:val="left" w:pos="1490" w:leader="none"/>
            </w:tabs>
            <w:rPr>
              <w:rFonts w:asciiTheme="majorHAnsi" w:hAnsiTheme="majorHAnsi" w:eastAsiaTheme="majorEastAsia" w:cstheme="majorBidi"/>
              <w:sz w:val="28"/>
              <w:szCs w:val="28"/>
            </w:rPr>
          </w:pPr>
          <w:r>
            <w:fldChar w:fldCharType="begin"/>
          </w:r>
          <w:r>
            <w:instrText xml:space="preserve">PAGE    \* MERGEFORMAT</w:instrText>
          </w:r>
          <w:r>
            <w:fldChar w:fldCharType="separate"/>
          </w:r>
          <w:r>
            <w:t xml:space="preserve">2</w:t>
          </w:r>
          <w:r>
            <w:fldChar w:fldCharType="end"/>
          </w:r>
          <w:r/>
        </w:p>
      </w:tc>
    </w:tr>
  </w:tbl>
  <w:p>
    <w:pPr>
      <w:pStyle w:val="824"/>
    </w:pPr>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pPr w:horzAnchor="margin" w:tblpXSpec="center" w:vertAnchor="page" w:tblpYSpec="bottom" w:leftFromText="187" w:topFromText="0" w:rightFromText="187" w:bottomFromText="0"/>
      <w:tblW w:w="5000" w:type="pct"/>
      <w:tblLayout w:type="fixed"/>
      <w:tblLook w:val="04A0" w:firstRow="1" w:lastRow="0" w:firstColumn="1" w:lastColumn="0" w:noHBand="0" w:noVBand="1"/>
    </w:tblPr>
    <w:tblGrid>
      <w:gridCol w:w="8646"/>
      <w:gridCol w:w="424"/>
    </w:tblGrid>
    <w:tr>
      <w:trPr>
        <w:trHeight w:val="727"/>
      </w:trPr>
      <w:tc>
        <w:tcPr>
          <w:tcBorders>
            <w:right w:val="single" w:color="4472C4" w:themeColor="accent1" w:sz="4" w:space="0"/>
          </w:tcBorders>
          <w:tcW w:w="4766" w:type="pct"/>
          <w:textDirection w:val="lrTb"/>
          <w:noWrap w:val="false"/>
        </w:tcPr>
        <w:p>
          <w:pPr>
            <w:jc w:val="right"/>
            <w:tabs>
              <w:tab w:val="left" w:pos="620" w:leader="none"/>
              <w:tab w:val="center" w:pos="4320" w:leader="none"/>
            </w:tabs>
            <w:rPr>
              <w:rFonts w:asciiTheme="majorHAnsi" w:hAnsiTheme="majorHAnsi" w:eastAsiaTheme="majorEastAsia" w:cstheme="majorBidi"/>
              <w:sz w:val="20"/>
              <w:szCs w:val="20"/>
            </w:rPr>
          </w:pPr>
          <w:r>
            <w:rPr>
              <w:rFonts w:asciiTheme="majorHAnsi" w:hAnsiTheme="majorHAnsi" w:eastAsiaTheme="majorEastAsia" w:cstheme="majorBidi"/>
              <w:sz w:val="20"/>
              <w:szCs w:val="20"/>
            </w:rPr>
          </w:r>
          <w:r/>
        </w:p>
      </w:tc>
      <w:tc>
        <w:tcPr>
          <w:tcBorders>
            <w:left w:val="single" w:color="4472C4" w:themeColor="accent1" w:sz="4" w:space="0"/>
          </w:tcBorders>
          <w:tcW w:w="234" w:type="pct"/>
          <w:textDirection w:val="lrTb"/>
          <w:noWrap w:val="false"/>
        </w:tcPr>
        <w:p>
          <w:pPr>
            <w:tabs>
              <w:tab w:val="left" w:pos="1490" w:leader="none"/>
            </w:tabs>
            <w:rPr>
              <w:rFonts w:asciiTheme="majorHAnsi" w:hAnsiTheme="majorHAnsi" w:eastAsiaTheme="majorEastAsia" w:cstheme="majorBidi"/>
              <w:sz w:val="28"/>
              <w:szCs w:val="28"/>
            </w:rPr>
          </w:pPr>
          <w:r>
            <w:fldChar w:fldCharType="begin"/>
          </w:r>
          <w:r>
            <w:instrText xml:space="preserve">PAGE    \* MERGEFORMAT</w:instrText>
          </w:r>
          <w:r>
            <w:fldChar w:fldCharType="separate"/>
          </w:r>
          <w:r>
            <w:t xml:space="preserve">2</w:t>
          </w:r>
          <w:r>
            <w:fldChar w:fldCharType="end"/>
          </w:r>
          <w:r/>
        </w:p>
      </w:tc>
    </w:tr>
  </w:tbl>
  <w:p>
    <w:pPr>
      <w:pStyle w:val="824"/>
    </w:pPr>
    <w: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824"/>
    </w:pPr>
    <w:r/>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824"/>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r>
        <w:separator/>
      </w:r>
      <w:r/>
    </w:p>
  </w:footnote>
  <w:footnote w:type="continuationSeparator" w:id="0">
    <w:p>
      <w:r>
        <w:continuationSeparator/>
      </w:r>
      <w:r/>
    </w:p>
  </w:footnote>
  <w:footnote w:id="2">
    <w:p>
      <w:pPr>
        <w:pStyle w:val="834"/>
        <w:ind w:left="284" w:hanging="284"/>
        <w:jc w:val="both"/>
        <w:rPr>
          <w:rFonts w:ascii="Palatino Linotype" w:hAnsi="Palatino Linotype"/>
          <w:sz w:val="18"/>
          <w:szCs w:val="18"/>
        </w:rPr>
      </w:pPr>
      <w:r>
        <w:rPr>
          <w:rStyle w:val="836"/>
          <w:rFonts w:ascii="Palatino Linotype" w:hAnsi="Palatino Linotype"/>
          <w:sz w:val="18"/>
          <w:szCs w:val="18"/>
        </w:rPr>
        <w:footnoteRef/>
      </w:r>
      <w:r>
        <w:rPr>
          <w:rFonts w:ascii="Palatino Linotype" w:hAnsi="Palatino Linotype"/>
          <w:sz w:val="18"/>
          <w:szCs w:val="18"/>
        </w:rPr>
        <w:t xml:space="preserve"> </w:t>
      </w:r>
      <w:r>
        <w:rPr>
          <w:rFonts w:ascii="Palatino Linotype" w:hAnsi="Palatino Linotype"/>
          <w:sz w:val="18"/>
          <w:szCs w:val="18"/>
        </w:rPr>
        <w:tab/>
      </w:r>
      <w:r>
        <w:rPr>
          <w:rFonts w:ascii="Palatino Linotype" w:hAnsi="Palatino Linotype"/>
          <w:sz w:val="18"/>
          <w:szCs w:val="18"/>
        </w:rPr>
        <w:t xml:space="preserve">Dieser Begriff wird als Fremdbezeichnung von vielen Sinti und Roma als beleidigend empfunden. Wir kürzen ihn daher nachfolgend mit ‚Z*‘ ab, um ihn nicht zu replizieren.</w:t>
      </w:r>
      <w:r/>
    </w:p>
  </w:footnote>
  <w:footnote w:id="3">
    <w:p>
      <w:pPr>
        <w:pStyle w:val="834"/>
        <w:ind w:left="284" w:hanging="284"/>
        <w:jc w:val="both"/>
      </w:pPr>
      <w:r>
        <w:rPr>
          <w:rStyle w:val="836"/>
          <w:rFonts w:ascii="Palatino Linotype" w:hAnsi="Palatino Linotype"/>
          <w:sz w:val="18"/>
          <w:szCs w:val="18"/>
        </w:rPr>
        <w:footnoteRef/>
      </w:r>
      <w:r>
        <w:rPr>
          <w:rFonts w:ascii="Palatino Linotype" w:hAnsi="Palatino Linotype"/>
          <w:sz w:val="18"/>
          <w:szCs w:val="18"/>
        </w:rPr>
        <w:t xml:space="preserve"> </w:t>
      </w:r>
      <w:r>
        <w:rPr>
          <w:rFonts w:ascii="Palatino Linotype" w:hAnsi="Palatino Linotype"/>
          <w:sz w:val="18"/>
          <w:szCs w:val="18"/>
        </w:rPr>
        <w:tab/>
      </w:r>
      <w:r>
        <w:rPr>
          <w:rFonts w:ascii="Palatino Linotype" w:hAnsi="Palatino Linotype"/>
          <w:sz w:val="18"/>
          <w:szCs w:val="18"/>
        </w:rPr>
        <w:t xml:space="preserve">Operette von Johann </w:t>
      </w:r>
      <w:r>
        <w:rPr>
          <w:rFonts w:ascii="Palatino Linotype" w:hAnsi="Palatino Linotype"/>
          <w:sz w:val="18"/>
          <w:szCs w:val="18"/>
        </w:rPr>
        <w:t xml:space="preserve">Strauss</w:t>
      </w:r>
      <w:r>
        <w:rPr>
          <w:rFonts w:ascii="Palatino Linotype" w:hAnsi="Palatino Linotype"/>
          <w:sz w:val="18"/>
          <w:szCs w:val="18"/>
        </w:rPr>
        <w:t xml:space="preserve"> aus dem Jahr 1885.</w:t>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822"/>
    </w:pPr>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822"/>
    </w:pPr>
    <w: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822"/>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2">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3">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4">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5">
    <w:multiLevelType w:val="hybridMultilevel"/>
    <w:lvl w:ilvl="0">
      <w:start w:val="1"/>
      <w:numFmt w:val="lowerLetter"/>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6">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8">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9">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0">
    <w:multiLevelType w:val="hybridMultilevel"/>
    <w:lvl w:ilvl="0">
      <w:start w:val="1"/>
      <w:numFmt w:val="bullet"/>
      <w:isLgl w:val="false"/>
      <w:suff w:val="tab"/>
      <w:lvlText w:val=""/>
      <w:lvlJc w:val="left"/>
      <w:pPr>
        <w:ind w:left="720" w:hanging="360"/>
      </w:pPr>
      <w:rPr>
        <w:rFonts w:hint="default" w:ascii="Wingdings" w:hAnsi="Wingdings"/>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1">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rPr>
    </w:lvl>
    <w:lvl w:ilvl="8">
      <w:start w:val="1"/>
      <w:numFmt w:val="bullet"/>
      <w:isLgl w:val="false"/>
      <w:suff w:val="tab"/>
      <w:lvlText w:val=""/>
      <w:lvlJc w:val="left"/>
      <w:pPr>
        <w:ind w:left="6480" w:hanging="360"/>
      </w:pPr>
      <w:rPr>
        <w:rFonts w:hint="default" w:ascii="Wingdings" w:hAnsi="Wingdings"/>
      </w:rPr>
    </w:lvl>
  </w:abstractNum>
  <w:abstractNum w:abstractNumId="12">
    <w:multiLevelType w:val="hybridMultilevel"/>
    <w:lvl w:ilvl="0">
      <w:start w:val="1"/>
      <w:numFmt w:val="decimal"/>
      <w:isLgl w:val="false"/>
      <w:suff w:val="tab"/>
      <w:lvlText w:val="%1."/>
      <w:lvlJc w:val="left"/>
      <w:pPr>
        <w:ind w:left="1080" w:hanging="360"/>
      </w:pPr>
    </w:lvl>
    <w:lvl w:ilvl="1">
      <w:start w:val="1"/>
      <w:numFmt w:val="lowerLetter"/>
      <w:isLgl w:val="false"/>
      <w:suff w:val="tab"/>
      <w:lvlText w:val="%2."/>
      <w:lvlJc w:val="left"/>
      <w:pPr>
        <w:ind w:left="1800" w:hanging="360"/>
      </w:pPr>
    </w:lvl>
    <w:lvl w:ilvl="2">
      <w:start w:val="1"/>
      <w:numFmt w:val="lowerRoman"/>
      <w:isLgl w:val="false"/>
      <w:suff w:val="tab"/>
      <w:lvlText w:val="%3."/>
      <w:lvlJc w:val="right"/>
      <w:pPr>
        <w:ind w:left="2520" w:hanging="180"/>
      </w:pPr>
    </w:lvl>
    <w:lvl w:ilvl="3">
      <w:start w:val="1"/>
      <w:numFmt w:val="decimal"/>
      <w:isLgl w:val="false"/>
      <w:suff w:val="tab"/>
      <w:lvlText w:val="%4."/>
      <w:lvlJc w:val="left"/>
      <w:pPr>
        <w:ind w:left="3240" w:hanging="360"/>
      </w:pPr>
    </w:lvl>
    <w:lvl w:ilvl="4">
      <w:start w:val="1"/>
      <w:numFmt w:val="lowerLetter"/>
      <w:isLgl w:val="false"/>
      <w:suff w:val="tab"/>
      <w:lvlText w:val="%5."/>
      <w:lvlJc w:val="left"/>
      <w:pPr>
        <w:ind w:left="3960" w:hanging="360"/>
      </w:pPr>
    </w:lvl>
    <w:lvl w:ilvl="5">
      <w:start w:val="1"/>
      <w:numFmt w:val="lowerRoman"/>
      <w:isLgl w:val="false"/>
      <w:suff w:val="tab"/>
      <w:lvlText w:val="%6."/>
      <w:lvlJc w:val="right"/>
      <w:pPr>
        <w:ind w:left="4680" w:hanging="180"/>
      </w:pPr>
    </w:lvl>
    <w:lvl w:ilvl="6">
      <w:start w:val="1"/>
      <w:numFmt w:val="decimal"/>
      <w:isLgl w:val="false"/>
      <w:suff w:val="tab"/>
      <w:lvlText w:val="%7."/>
      <w:lvlJc w:val="left"/>
      <w:pPr>
        <w:ind w:left="5400" w:hanging="360"/>
      </w:pPr>
    </w:lvl>
    <w:lvl w:ilvl="7">
      <w:start w:val="1"/>
      <w:numFmt w:val="lowerLetter"/>
      <w:isLgl w:val="false"/>
      <w:suff w:val="tab"/>
      <w:lvlText w:val="%8."/>
      <w:lvlJc w:val="left"/>
      <w:pPr>
        <w:ind w:left="6120" w:hanging="360"/>
      </w:pPr>
    </w:lvl>
    <w:lvl w:ilvl="8">
      <w:start w:val="1"/>
      <w:numFmt w:val="lowerRoman"/>
      <w:isLgl w:val="false"/>
      <w:suff w:val="tab"/>
      <w:lvlText w:val="%9."/>
      <w:lvlJc w:val="right"/>
      <w:pPr>
        <w:ind w:left="6840" w:hanging="180"/>
      </w:pPr>
    </w:lvl>
  </w:abstractNum>
  <w:abstractNum w:abstractNumId="13">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4">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num w:numId="1">
    <w:abstractNumId w:val="9"/>
  </w:num>
  <w:num w:numId="2">
    <w:abstractNumId w:val="6"/>
  </w:num>
  <w:num w:numId="3">
    <w:abstractNumId w:val="12"/>
  </w:num>
  <w:num w:numId="4">
    <w:abstractNumId w:val="7"/>
  </w:num>
  <w:num w:numId="5">
    <w:abstractNumId w:val="8"/>
  </w:num>
  <w:num w:numId="6">
    <w:abstractNumId w:val="14"/>
  </w:num>
  <w:num w:numId="7">
    <w:abstractNumId w:val="3"/>
  </w:num>
  <w:num w:numId="8">
    <w:abstractNumId w:val="2"/>
  </w:num>
  <w:num w:numId="9">
    <w:abstractNumId w:val="13"/>
  </w:num>
  <w:num w:numId="10">
    <w:abstractNumId w:val="11"/>
  </w:num>
  <w:num w:numId="11">
    <w:abstractNumId w:val="4"/>
  </w:num>
  <w:num w:numId="12">
    <w:abstractNumId w:val="5"/>
  </w:num>
  <w:num w:numId="13">
    <w:abstractNumId w:val="1"/>
  </w:num>
  <w:num w:numId="14">
    <w:abstractNumId w:val="0"/>
  </w:num>
  <w:num w:numId="15">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a Schwendemann">
    <w15:presenceInfo w15:providerId="Teamlab" w15:userId="3TmH55DUMRMkA4j92Qo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4"/>
        <w:szCs w:val="24"/>
        <w:lang w:val="de-DE" w:eastAsia="en-US" w:bidi="ar-SA"/>
      </w:rPr>
    </w:rPrDefault>
    <w:pPrDefaul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character" w:styleId="14">
    <w:name w:val="Heading 1 Char"/>
    <w:basedOn w:val="816"/>
    <w:link w:val="814"/>
    <w:uiPriority w:val="9"/>
    <w:rPr>
      <w:rFonts w:ascii="Arial" w:hAnsi="Arial" w:eastAsia="Arial" w:cs="Arial"/>
      <w:sz w:val="40"/>
      <w:szCs w:val="40"/>
    </w:rPr>
  </w:style>
  <w:style w:type="paragraph" w:styleId="15">
    <w:name w:val="Heading 2"/>
    <w:basedOn w:val="813"/>
    <w:next w:val="813"/>
    <w:link w:val="16"/>
    <w:uiPriority w:val="9"/>
    <w:unhideWhenUsed/>
    <w:qFormat/>
    <w:pPr>
      <w:keepLines/>
      <w:keepNext/>
      <w:spacing w:before="360" w:after="200"/>
      <w:outlineLvl w:val="1"/>
    </w:pPr>
    <w:rPr>
      <w:rFonts w:ascii="Arial" w:hAnsi="Arial" w:eastAsia="Arial" w:cs="Arial"/>
      <w:sz w:val="34"/>
    </w:rPr>
  </w:style>
  <w:style w:type="character" w:styleId="16">
    <w:name w:val="Heading 2 Char"/>
    <w:basedOn w:val="816"/>
    <w:link w:val="15"/>
    <w:uiPriority w:val="9"/>
    <w:rPr>
      <w:rFonts w:ascii="Arial" w:hAnsi="Arial" w:eastAsia="Arial" w:cs="Arial"/>
      <w:sz w:val="34"/>
    </w:rPr>
  </w:style>
  <w:style w:type="paragraph" w:styleId="17">
    <w:name w:val="Heading 3"/>
    <w:basedOn w:val="813"/>
    <w:next w:val="813"/>
    <w:link w:val="18"/>
    <w:uiPriority w:val="9"/>
    <w:unhideWhenUsed/>
    <w:qFormat/>
    <w:pPr>
      <w:keepLines/>
      <w:keepNext/>
      <w:spacing w:before="320" w:after="200"/>
      <w:outlineLvl w:val="2"/>
    </w:pPr>
    <w:rPr>
      <w:rFonts w:ascii="Arial" w:hAnsi="Arial" w:eastAsia="Arial" w:cs="Arial"/>
      <w:sz w:val="30"/>
      <w:szCs w:val="30"/>
    </w:rPr>
  </w:style>
  <w:style w:type="character" w:styleId="18">
    <w:name w:val="Heading 3 Char"/>
    <w:basedOn w:val="816"/>
    <w:link w:val="17"/>
    <w:uiPriority w:val="9"/>
    <w:rPr>
      <w:rFonts w:ascii="Arial" w:hAnsi="Arial" w:eastAsia="Arial" w:cs="Arial"/>
      <w:sz w:val="30"/>
      <w:szCs w:val="30"/>
    </w:rPr>
  </w:style>
  <w:style w:type="paragraph" w:styleId="19">
    <w:name w:val="Heading 4"/>
    <w:basedOn w:val="813"/>
    <w:next w:val="813"/>
    <w:link w:val="20"/>
    <w:uiPriority w:val="9"/>
    <w:unhideWhenUsed/>
    <w:qFormat/>
    <w:pPr>
      <w:keepLines/>
      <w:keepNext/>
      <w:spacing w:before="320" w:after="200"/>
      <w:outlineLvl w:val="3"/>
    </w:pPr>
    <w:rPr>
      <w:rFonts w:ascii="Arial" w:hAnsi="Arial" w:eastAsia="Arial" w:cs="Arial"/>
      <w:b/>
      <w:bCs/>
      <w:sz w:val="26"/>
      <w:szCs w:val="26"/>
    </w:rPr>
  </w:style>
  <w:style w:type="character" w:styleId="20">
    <w:name w:val="Heading 4 Char"/>
    <w:basedOn w:val="816"/>
    <w:link w:val="19"/>
    <w:uiPriority w:val="9"/>
    <w:rPr>
      <w:rFonts w:ascii="Arial" w:hAnsi="Arial" w:eastAsia="Arial" w:cs="Arial"/>
      <w:b/>
      <w:bCs/>
      <w:sz w:val="26"/>
      <w:szCs w:val="26"/>
    </w:rPr>
  </w:style>
  <w:style w:type="character" w:styleId="22">
    <w:name w:val="Heading 5 Char"/>
    <w:basedOn w:val="816"/>
    <w:link w:val="815"/>
    <w:uiPriority w:val="9"/>
    <w:rPr>
      <w:rFonts w:ascii="Arial" w:hAnsi="Arial" w:eastAsia="Arial" w:cs="Arial"/>
      <w:b/>
      <w:bCs/>
      <w:sz w:val="24"/>
      <w:szCs w:val="24"/>
    </w:rPr>
  </w:style>
  <w:style w:type="paragraph" w:styleId="23">
    <w:name w:val="Heading 6"/>
    <w:basedOn w:val="813"/>
    <w:next w:val="813"/>
    <w:link w:val="24"/>
    <w:uiPriority w:val="9"/>
    <w:unhideWhenUsed/>
    <w:qFormat/>
    <w:pPr>
      <w:keepLines/>
      <w:keepNext/>
      <w:spacing w:before="320" w:after="200"/>
      <w:outlineLvl w:val="5"/>
    </w:pPr>
    <w:rPr>
      <w:rFonts w:ascii="Arial" w:hAnsi="Arial" w:eastAsia="Arial" w:cs="Arial"/>
      <w:b/>
      <w:bCs/>
      <w:sz w:val="22"/>
      <w:szCs w:val="22"/>
    </w:rPr>
  </w:style>
  <w:style w:type="character" w:styleId="24">
    <w:name w:val="Heading 6 Char"/>
    <w:basedOn w:val="816"/>
    <w:link w:val="23"/>
    <w:uiPriority w:val="9"/>
    <w:rPr>
      <w:rFonts w:ascii="Arial" w:hAnsi="Arial" w:eastAsia="Arial" w:cs="Arial"/>
      <w:b/>
      <w:bCs/>
      <w:sz w:val="22"/>
      <w:szCs w:val="22"/>
    </w:rPr>
  </w:style>
  <w:style w:type="paragraph" w:styleId="25">
    <w:name w:val="Heading 7"/>
    <w:basedOn w:val="813"/>
    <w:next w:val="813"/>
    <w:link w:val="26"/>
    <w:uiPriority w:val="9"/>
    <w:unhideWhenUsed/>
    <w:qFormat/>
    <w:pPr>
      <w:keepLines/>
      <w:keepNext/>
      <w:spacing w:before="320" w:after="200"/>
      <w:outlineLvl w:val="6"/>
    </w:pPr>
    <w:rPr>
      <w:rFonts w:ascii="Arial" w:hAnsi="Arial" w:eastAsia="Arial" w:cs="Arial"/>
      <w:b/>
      <w:bCs/>
      <w:i/>
      <w:iCs/>
      <w:sz w:val="22"/>
      <w:szCs w:val="22"/>
    </w:rPr>
  </w:style>
  <w:style w:type="character" w:styleId="26">
    <w:name w:val="Heading 7 Char"/>
    <w:basedOn w:val="816"/>
    <w:link w:val="25"/>
    <w:uiPriority w:val="9"/>
    <w:rPr>
      <w:rFonts w:ascii="Arial" w:hAnsi="Arial" w:eastAsia="Arial" w:cs="Arial"/>
      <w:b/>
      <w:bCs/>
      <w:i/>
      <w:iCs/>
      <w:sz w:val="22"/>
      <w:szCs w:val="22"/>
    </w:rPr>
  </w:style>
  <w:style w:type="paragraph" w:styleId="27">
    <w:name w:val="Heading 8"/>
    <w:basedOn w:val="813"/>
    <w:next w:val="813"/>
    <w:link w:val="28"/>
    <w:uiPriority w:val="9"/>
    <w:unhideWhenUsed/>
    <w:qFormat/>
    <w:pPr>
      <w:keepLines/>
      <w:keepNext/>
      <w:spacing w:before="320" w:after="200"/>
      <w:outlineLvl w:val="7"/>
    </w:pPr>
    <w:rPr>
      <w:rFonts w:ascii="Arial" w:hAnsi="Arial" w:eastAsia="Arial" w:cs="Arial"/>
      <w:i/>
      <w:iCs/>
      <w:sz w:val="22"/>
      <w:szCs w:val="22"/>
    </w:rPr>
  </w:style>
  <w:style w:type="character" w:styleId="28">
    <w:name w:val="Heading 8 Char"/>
    <w:basedOn w:val="816"/>
    <w:link w:val="27"/>
    <w:uiPriority w:val="9"/>
    <w:rPr>
      <w:rFonts w:ascii="Arial" w:hAnsi="Arial" w:eastAsia="Arial" w:cs="Arial"/>
      <w:i/>
      <w:iCs/>
      <w:sz w:val="22"/>
      <w:szCs w:val="22"/>
    </w:rPr>
  </w:style>
  <w:style w:type="paragraph" w:styleId="29">
    <w:name w:val="Heading 9"/>
    <w:basedOn w:val="813"/>
    <w:next w:val="813"/>
    <w:link w:val="30"/>
    <w:uiPriority w:val="9"/>
    <w:unhideWhenUsed/>
    <w:qFormat/>
    <w:pPr>
      <w:keepLines/>
      <w:keepNext/>
      <w:spacing w:before="320" w:after="200"/>
      <w:outlineLvl w:val="8"/>
    </w:pPr>
    <w:rPr>
      <w:rFonts w:ascii="Arial" w:hAnsi="Arial" w:eastAsia="Arial" w:cs="Arial"/>
      <w:i/>
      <w:iCs/>
      <w:sz w:val="21"/>
      <w:szCs w:val="21"/>
    </w:rPr>
  </w:style>
  <w:style w:type="character" w:styleId="30">
    <w:name w:val="Heading 9 Char"/>
    <w:basedOn w:val="816"/>
    <w:link w:val="29"/>
    <w:uiPriority w:val="9"/>
    <w:rPr>
      <w:rFonts w:ascii="Arial" w:hAnsi="Arial" w:eastAsia="Arial" w:cs="Arial"/>
      <w:i/>
      <w:iCs/>
      <w:sz w:val="21"/>
      <w:szCs w:val="21"/>
    </w:rPr>
  </w:style>
  <w:style w:type="paragraph" w:styleId="33">
    <w:name w:val="No Spacing"/>
    <w:uiPriority w:val="1"/>
    <w:qFormat/>
    <w:pPr>
      <w:spacing w:before="0" w:after="0" w:line="240" w:lineRule="auto"/>
    </w:pPr>
  </w:style>
  <w:style w:type="paragraph" w:styleId="34">
    <w:name w:val="Title"/>
    <w:basedOn w:val="813"/>
    <w:next w:val="813"/>
    <w:link w:val="35"/>
    <w:uiPriority w:val="10"/>
    <w:qFormat/>
    <w:pPr>
      <w:contextualSpacing/>
      <w:spacing w:before="300" w:after="200"/>
    </w:pPr>
    <w:rPr>
      <w:sz w:val="48"/>
      <w:szCs w:val="48"/>
    </w:rPr>
  </w:style>
  <w:style w:type="character" w:styleId="35">
    <w:name w:val="Title Char"/>
    <w:basedOn w:val="816"/>
    <w:link w:val="34"/>
    <w:uiPriority w:val="10"/>
    <w:rPr>
      <w:sz w:val="48"/>
      <w:szCs w:val="48"/>
    </w:rPr>
  </w:style>
  <w:style w:type="paragraph" w:styleId="36">
    <w:name w:val="Subtitle"/>
    <w:basedOn w:val="813"/>
    <w:next w:val="813"/>
    <w:link w:val="37"/>
    <w:uiPriority w:val="11"/>
    <w:qFormat/>
    <w:pPr>
      <w:spacing w:before="200" w:after="200"/>
    </w:pPr>
    <w:rPr>
      <w:sz w:val="24"/>
      <w:szCs w:val="24"/>
    </w:rPr>
  </w:style>
  <w:style w:type="character" w:styleId="37">
    <w:name w:val="Subtitle Char"/>
    <w:basedOn w:val="816"/>
    <w:link w:val="36"/>
    <w:uiPriority w:val="11"/>
    <w:rPr>
      <w:sz w:val="24"/>
      <w:szCs w:val="24"/>
    </w:rPr>
  </w:style>
  <w:style w:type="paragraph" w:styleId="38">
    <w:name w:val="Quote"/>
    <w:basedOn w:val="813"/>
    <w:next w:val="813"/>
    <w:link w:val="39"/>
    <w:uiPriority w:val="29"/>
    <w:qFormat/>
    <w:pPr>
      <w:ind w:left="720" w:right="720"/>
    </w:pPr>
    <w:rPr>
      <w:i/>
    </w:rPr>
  </w:style>
  <w:style w:type="character" w:styleId="39">
    <w:name w:val="Quote Char"/>
    <w:link w:val="38"/>
    <w:uiPriority w:val="29"/>
    <w:rPr>
      <w:i/>
    </w:rPr>
  </w:style>
  <w:style w:type="paragraph" w:styleId="40">
    <w:name w:val="Intense Quote"/>
    <w:basedOn w:val="813"/>
    <w:next w:val="813"/>
    <w:link w:val="41"/>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41">
    <w:name w:val="Intense Quote Char"/>
    <w:link w:val="40"/>
    <w:uiPriority w:val="30"/>
    <w:rPr>
      <w:i/>
    </w:rPr>
  </w:style>
  <w:style w:type="character" w:styleId="43">
    <w:name w:val="Header Char"/>
    <w:basedOn w:val="816"/>
    <w:link w:val="822"/>
    <w:uiPriority w:val="99"/>
  </w:style>
  <w:style w:type="character" w:styleId="45">
    <w:name w:val="Footer Char"/>
    <w:basedOn w:val="816"/>
    <w:link w:val="824"/>
    <w:uiPriority w:val="99"/>
  </w:style>
  <w:style w:type="paragraph" w:styleId="46">
    <w:name w:val="Caption"/>
    <w:basedOn w:val="813"/>
    <w:next w:val="813"/>
    <w:uiPriority w:val="35"/>
    <w:semiHidden/>
    <w:unhideWhenUsed/>
    <w:qFormat/>
    <w:pPr>
      <w:spacing w:line="276" w:lineRule="auto"/>
    </w:pPr>
    <w:rPr>
      <w:b/>
      <w:bCs/>
      <w:color w:val="4f81bd" w:themeColor="accent1"/>
      <w:sz w:val="18"/>
      <w:szCs w:val="18"/>
    </w:rPr>
  </w:style>
  <w:style w:type="character" w:styleId="47">
    <w:name w:val="Caption Char"/>
    <w:basedOn w:val="46"/>
    <w:link w:val="824"/>
    <w:uiPriority w:val="99"/>
  </w:style>
  <w:style w:type="table" w:styleId="48">
    <w:name w:val="Table Grid"/>
    <w:basedOn w:val="817"/>
    <w:uiPriority w:val="59"/>
    <w:pPr>
      <w:spacing w:after="0" w:line="240" w:lineRule="auto"/>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style>
  <w:style w:type="table" w:styleId="49">
    <w:name w:val="Table Grid Light"/>
    <w:basedOn w:val="817"/>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50">
    <w:name w:val="Plain Table 1"/>
    <w:basedOn w:val="817"/>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51">
    <w:name w:val="Plain Table 2"/>
    <w:basedOn w:val="817"/>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52">
    <w:name w:val="Plain Table 3"/>
    <w:basedOn w:val="817"/>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53">
    <w:name w:val="Plain Table 4"/>
    <w:basedOn w:val="817"/>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54">
    <w:name w:val="Plain Table 5"/>
    <w:basedOn w:val="817"/>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55">
    <w:name w:val="Grid Table 1 Light"/>
    <w:basedOn w:val="817"/>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56">
    <w:name w:val="Grid Table 1 Light - Accent 1"/>
    <w:basedOn w:val="817"/>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57">
    <w:name w:val="Grid Table 1 Light - Accent 2"/>
    <w:basedOn w:val="817"/>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58">
    <w:name w:val="Grid Table 1 Light - Accent 3"/>
    <w:basedOn w:val="817"/>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59">
    <w:name w:val="Grid Table 1 Light - Accent 4"/>
    <w:basedOn w:val="817"/>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60">
    <w:name w:val="Grid Table 1 Light - Accent 5"/>
    <w:basedOn w:val="817"/>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61">
    <w:name w:val="Grid Table 1 Light - Accent 6"/>
    <w:basedOn w:val="817"/>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62">
    <w:name w:val="Grid Table 2"/>
    <w:basedOn w:val="817"/>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63">
    <w:name w:val="Grid Table 2 - Accent 1"/>
    <w:basedOn w:val="817"/>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9e2f2" w:themeFill="accent1" w:themeFillTint="34"/>
      </w:tcPr>
    </w:tblStylePr>
    <w:tblStylePr w:type="band1Vert">
      <w:rPr>
        <w:rFonts w:ascii="Arial" w:hAnsi="Arial"/>
        <w:color w:val="404040"/>
        <w:sz w:val="22"/>
      </w:rPr>
      <w:tcPr>
        <w:shd w:val="clear" w:color="ffffff" w:themeColor="accent1" w:themeTint="34" w:fill="d9e2f2"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64">
    <w:name w:val="Grid Table 2 - Accent 2"/>
    <w:basedOn w:val="817"/>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65">
    <w:name w:val="Grid Table 2 - Accent 3"/>
    <w:basedOn w:val="817"/>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66">
    <w:name w:val="Grid Table 2 - Accent 4"/>
    <w:basedOn w:val="817"/>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67">
    <w:name w:val="Grid Table 2 - Accent 5"/>
    <w:basedOn w:val="817"/>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debf6" w:themeFill="accent5" w:themeFillTint="34"/>
      </w:tcPr>
    </w:tblStylePr>
    <w:tblStylePr w:type="band1Vert">
      <w:rPr>
        <w:rFonts w:ascii="Arial" w:hAnsi="Arial"/>
        <w:color w:val="404040"/>
        <w:sz w:val="22"/>
      </w:rPr>
      <w:tcPr>
        <w:shd w:val="clear" w:color="ffffff" w:themeColor="accent5" w:themeTint="34" w:fill="ddebf6"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68">
    <w:name w:val="Grid Table 2 - Accent 6"/>
    <w:basedOn w:val="817"/>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69">
    <w:name w:val="Grid Table 3"/>
    <w:basedOn w:val="817"/>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0">
    <w:name w:val="Grid Table 3 - Accent 1"/>
    <w:basedOn w:val="817"/>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9e2f2" w:themeFill="accent1" w:themeFillTint="34"/>
      </w:tcPr>
    </w:tblStylePr>
    <w:tblStylePr w:type="band1Vert">
      <w:rPr>
        <w:rFonts w:ascii="Arial" w:hAnsi="Arial"/>
        <w:color w:val="404040"/>
        <w:sz w:val="22"/>
      </w:rPr>
      <w:tcPr>
        <w:shd w:val="clear" w:color="ffffff" w:themeColor="accent1" w:themeTint="34" w:fill="d9e2f2"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1">
    <w:name w:val="Grid Table 3 - Accent 2"/>
    <w:basedOn w:val="817"/>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2">
    <w:name w:val="Grid Table 3 - Accent 3"/>
    <w:basedOn w:val="817"/>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3">
    <w:name w:val="Grid Table 3 - Accent 4"/>
    <w:basedOn w:val="817"/>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4">
    <w:name w:val="Grid Table 3 - Accent 5"/>
    <w:basedOn w:val="817"/>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debf6" w:themeFill="accent5" w:themeFillTint="34"/>
      </w:tcPr>
    </w:tblStylePr>
    <w:tblStylePr w:type="band1Vert">
      <w:rPr>
        <w:rFonts w:ascii="Arial" w:hAnsi="Arial"/>
        <w:color w:val="404040"/>
        <w:sz w:val="22"/>
      </w:rPr>
      <w:tcPr>
        <w:shd w:val="clear" w:color="ffffff" w:themeColor="accent5" w:themeTint="34" w:fill="ddebf6"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5">
    <w:name w:val="Grid Table 3 - Accent 6"/>
    <w:basedOn w:val="817"/>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6">
    <w:name w:val="Grid Table 4"/>
    <w:basedOn w:val="817"/>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77">
    <w:name w:val="Grid Table 4 - Accent 1"/>
    <w:basedOn w:val="817"/>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ae3f3" w:themeFill="accent1" w:themeFillTint="32"/>
      </w:tcPr>
    </w:tblStylePr>
    <w:tblStylePr w:type="band1Vert">
      <w:rPr>
        <w:rFonts w:ascii="Arial" w:hAnsi="Arial"/>
        <w:color w:val="404040"/>
        <w:sz w:val="22"/>
      </w:rPr>
      <w:tcPr>
        <w:shd w:val="clear" w:color="ffffff" w:themeColor="accent1" w:themeTint="32" w:fill="dae3f3"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537fc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78">
    <w:name w:val="Grid Table 4 - Accent 2"/>
    <w:basedOn w:val="817"/>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79">
    <w:name w:val="Grid Table 4 - Accent 3"/>
    <w:basedOn w:val="817"/>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0">
    <w:name w:val="Grid Table 4 - Accent 4"/>
    <w:basedOn w:val="817"/>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1">
    <w:name w:val="Grid Table 4 - Accent 5"/>
    <w:basedOn w:val="817"/>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debf6" w:themeFill="accent5" w:themeFillTint="34"/>
      </w:tcPr>
    </w:tblStylePr>
    <w:tblStylePr w:type="band1Vert">
      <w:rPr>
        <w:rFonts w:ascii="Arial" w:hAnsi="Arial"/>
        <w:color w:val="404040"/>
        <w:sz w:val="22"/>
      </w:rPr>
      <w:tcPr>
        <w:shd w:val="clear" w:color="ffffff" w:themeColor="accent5" w:themeTint="34" w:fill="ddebf6"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5b9bd5"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2">
    <w:name w:val="Grid Table 4 - Accent 6"/>
    <w:basedOn w:val="817"/>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
    <w:name w:val="Grid Table 5 Dark"/>
    <w:basedOn w:val="81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4">
    <w:name w:val="Grid Table 5 Dark- Accent 1"/>
    <w:basedOn w:val="81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9e2f2" w:themeFill="accent1" w:themeFillTint="34"/>
    </w:tblPr>
    <w:tblStylePr w:type="band1Horz">
      <w:tcPr>
        <w:shd w:val="clear" w:color="ffffff" w:themeColor="accent1" w:themeTint="75" w:fill="aabfe3" w:themeFill="accent1" w:themeFillTint="75"/>
      </w:tcPr>
    </w:tblStylePr>
    <w:tblStylePr w:type="band1Vert">
      <w:tcPr>
        <w:shd w:val="clear" w:color="ffffff" w:themeColor="accent1" w:themeTint="75" w:fill="aabfe3" w:themeFill="accent1" w:themeFillTint="75"/>
      </w:tcPr>
    </w:tblStylePr>
    <w:tblStylePr w:type="firstCol">
      <w:rPr>
        <w:rFonts w:ascii="Arial" w:hAnsi="Arial"/>
        <w:b/>
        <w:color w:val="ffffff"/>
        <w:sz w:val="22"/>
      </w:rPr>
      <w:tcPr>
        <w:shd w:val="clear" w:color="ffffff" w:themeColor="accent1" w:fill="4472c4" w:themeFill="accent1"/>
      </w:tcPr>
    </w:tblStylePr>
    <w:tblStylePr w:type="firstRow">
      <w:rPr>
        <w:rFonts w:ascii="Arial" w:hAnsi="Arial"/>
        <w:b/>
        <w:color w:val="ffffff"/>
        <w:sz w:val="22"/>
      </w:rPr>
      <w:tcPr>
        <w:shd w:val="clear" w:color="ffffff" w:themeColor="accent1" w:fill="4472c4" w:themeFill="accent1"/>
      </w:tcPr>
    </w:tblStylePr>
    <w:tblStylePr w:type="lastCol">
      <w:rPr>
        <w:rFonts w:ascii="Arial" w:hAnsi="Arial"/>
        <w:b/>
        <w:color w:val="ffffff"/>
        <w:sz w:val="22"/>
      </w:rPr>
      <w:tcPr>
        <w:shd w:val="clear" w:color="ffffff" w:themeColor="accent1" w:fill="4472c4" w:themeFill="accent1"/>
      </w:tcPr>
    </w:tblStylePr>
    <w:tblStylePr w:type="lastRow">
      <w:rPr>
        <w:rFonts w:ascii="Arial" w:hAnsi="Arial"/>
        <w:b/>
        <w:color w:val="ffffff"/>
        <w:sz w:val="22"/>
      </w:rPr>
      <w:tcPr>
        <w:shd w:val="clear" w:color="ffffff" w:themeColor="accent1" w:fill="4472c4" w:themeFill="accent1"/>
        <w:tcBorders>
          <w:top w:val="single" w:color="000000" w:themeColor="light1" w:sz="4" w:space="0"/>
        </w:tcBorders>
      </w:tcPr>
    </w:tblStylePr>
  </w:style>
  <w:style w:type="table" w:styleId="85">
    <w:name w:val="Grid Table 5 Dark - Accent 2"/>
    <w:basedOn w:val="81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6">
    <w:name w:val="Grid Table 5 Dark - Accent 3"/>
    <w:basedOn w:val="81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7">
    <w:name w:val="Grid Table 5 Dark- Accent 4"/>
    <w:basedOn w:val="81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8">
    <w:name w:val="Grid Table 5 Dark - Accent 5"/>
    <w:basedOn w:val="81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debf6" w:themeFill="accent5" w:themeFillTint="34"/>
    </w:tblPr>
    <w:tblStylePr w:type="band1Horz">
      <w:tcPr>
        <w:shd w:val="clear" w:color="ffffff" w:themeColor="accent5" w:themeTint="75" w:fill="b4d2eb" w:themeFill="accent5" w:themeFillTint="75"/>
      </w:tcPr>
    </w:tblStylePr>
    <w:tblStylePr w:type="band1Vert">
      <w:tcPr>
        <w:shd w:val="clear" w:color="ffffff" w:themeColor="accent5" w:themeTint="75" w:fill="b4d2eb" w:themeFill="accent5" w:themeFillTint="75"/>
      </w:tcPr>
    </w:tblStylePr>
    <w:tblStylePr w:type="firstCol">
      <w:rPr>
        <w:rFonts w:ascii="Arial" w:hAnsi="Arial"/>
        <w:b/>
        <w:color w:val="ffffff"/>
        <w:sz w:val="22"/>
      </w:rPr>
      <w:tcPr>
        <w:shd w:val="clear" w:color="ffffff" w:themeColor="accent5" w:fill="5b9bd5" w:themeFill="accent5"/>
      </w:tcPr>
    </w:tblStylePr>
    <w:tblStylePr w:type="firstRow">
      <w:rPr>
        <w:rFonts w:ascii="Arial" w:hAnsi="Arial"/>
        <w:b/>
        <w:color w:val="ffffff"/>
        <w:sz w:val="22"/>
      </w:rPr>
      <w:tcPr>
        <w:shd w:val="clear" w:color="ffffff" w:themeColor="accent5" w:fill="5b9bd5" w:themeFill="accent5"/>
      </w:tcPr>
    </w:tblStylePr>
    <w:tblStylePr w:type="lastCol">
      <w:rPr>
        <w:rFonts w:ascii="Arial" w:hAnsi="Arial"/>
        <w:b/>
        <w:color w:val="ffffff"/>
        <w:sz w:val="22"/>
      </w:rPr>
      <w:tcPr>
        <w:shd w:val="clear" w:color="ffffff" w:themeColor="accent5" w:fill="5b9bd5" w:themeFill="accent5"/>
      </w:tcPr>
    </w:tblStylePr>
    <w:tblStylePr w:type="lastRow">
      <w:rPr>
        <w:rFonts w:ascii="Arial" w:hAnsi="Arial"/>
        <w:b/>
        <w:color w:val="ffffff"/>
        <w:sz w:val="22"/>
      </w:rPr>
      <w:tcPr>
        <w:shd w:val="clear" w:color="ffffff" w:themeColor="accent5" w:fill="5b9bd5" w:themeFill="accent5"/>
        <w:tcBorders>
          <w:top w:val="single" w:color="000000" w:themeColor="light1" w:sz="4" w:space="0"/>
        </w:tcBorders>
      </w:tcPr>
    </w:tblStylePr>
  </w:style>
  <w:style w:type="table" w:styleId="89">
    <w:name w:val="Grid Table 5 Dark - Accent 6"/>
    <w:basedOn w:val="817"/>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90">
    <w:name w:val="Grid Table 6 Colorful"/>
    <w:basedOn w:val="817"/>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91">
    <w:name w:val="Grid Table 6 Colorful - Accent 1"/>
    <w:basedOn w:val="817"/>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9e2f2" w:themeFill="accent1" w:themeFillTint="34"/>
      </w:tcPr>
    </w:tblStylePr>
    <w:tblStylePr w:type="band1Vert">
      <w:tcPr>
        <w:shd w:val="clear" w:color="ffffff" w:themeColor="accent1" w:themeTint="34" w:fill="d9e2f2" w:themeFill="accent1" w:themeFillTint="34"/>
      </w:tcPr>
    </w:tblStylePr>
    <w:tblStylePr w:type="band2Horz">
      <w:rPr>
        <w:rFonts w:ascii="Arial" w:hAnsi="Arial"/>
        <w:color w:val="404040" w:themeColor="accent1" w:themeTint="80" w:themeShade="95"/>
        <w:sz w:val="22"/>
      </w:rPr>
    </w:tblStylePr>
    <w:tblStylePr w:type="firstCol">
      <w:rPr>
        <w:b/>
        <w:color w:val="3664a9" w:themeColor="accent1" w:themeTint="80" w:themeShade="95"/>
      </w:rPr>
    </w:tblStylePr>
    <w:tblStylePr w:type="firstRow">
      <w:rPr>
        <w:b/>
        <w:color w:val="3664a9" w:themeColor="accent1" w:themeTint="80" w:themeShade="95"/>
      </w:rPr>
      <w:tcPr>
        <w:tcBorders>
          <w:bottom w:val="single" w:color="000000" w:themeColor="accent1" w:themeTint="80" w:sz="12" w:space="0"/>
        </w:tcBorders>
      </w:tcPr>
    </w:tblStylePr>
    <w:tblStylePr w:type="lastCol">
      <w:rPr>
        <w:b/>
        <w:color w:val="3664a9" w:themeColor="accent1" w:themeTint="80" w:themeShade="95"/>
      </w:rPr>
    </w:tblStylePr>
    <w:tblStylePr w:type="lastRow">
      <w:rPr>
        <w:b/>
        <w:color w:val="3664a9" w:themeColor="accent1" w:themeTint="80" w:themeShade="95"/>
      </w:rPr>
    </w:tblStylePr>
    <w:tblStylePr w:type="wholeTable">
      <w:rPr>
        <w:rFonts w:ascii="Arial" w:hAnsi="Arial"/>
        <w:color w:val="404040" w:themeColor="accent1" w:themeTint="80" w:themeShade="95"/>
        <w:sz w:val="22"/>
      </w:rPr>
    </w:tblStylePr>
  </w:style>
  <w:style w:type="table" w:styleId="92">
    <w:name w:val="Grid Table 6 Colorful - Accent 2"/>
    <w:basedOn w:val="817"/>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93">
    <w:name w:val="Grid Table 6 Colorful - Accent 3"/>
    <w:basedOn w:val="817"/>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94">
    <w:name w:val="Grid Table 6 Colorful - Accent 4"/>
    <w:basedOn w:val="817"/>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95">
    <w:name w:val="Grid Table 6 Colorful - Accent 5"/>
    <w:basedOn w:val="817"/>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debf6" w:themeFill="accent5" w:themeFillTint="34"/>
      </w:tcPr>
    </w:tblStylePr>
    <w:tblStylePr w:type="band1Vert">
      <w:tcPr>
        <w:shd w:val="clear" w:color="ffffff" w:themeColor="accent5" w:themeTint="34" w:fill="ddebf6" w:themeFill="accent5" w:themeFillTint="34"/>
      </w:tcPr>
    </w:tblStylePr>
    <w:tblStylePr w:type="band2Horz">
      <w:rPr>
        <w:rFonts w:ascii="Arial" w:hAnsi="Arial"/>
        <w:color w:val="404040" w:themeColor="accent5" w:themeShade="95"/>
        <w:sz w:val="22"/>
      </w:rPr>
    </w:tblStylePr>
    <w:tblStylePr w:type="firstCol">
      <w:rPr>
        <w:b/>
        <w:color w:val="245d8d" w:themeColor="accent5" w:themeShade="95"/>
      </w:rPr>
    </w:tblStylePr>
    <w:tblStylePr w:type="firstRow">
      <w:rPr>
        <w:b/>
        <w:color w:val="245d8d" w:themeColor="accent5" w:themeShade="95"/>
      </w:rPr>
      <w:tcPr>
        <w:tcBorders>
          <w:bottom w:val="single" w:color="000000" w:themeColor="accent5" w:sz="12" w:space="0"/>
        </w:tcBorders>
      </w:tcPr>
    </w:tblStylePr>
    <w:tblStylePr w:type="lastCol">
      <w:rPr>
        <w:b/>
        <w:color w:val="245d8d" w:themeColor="accent5" w:themeShade="95"/>
      </w:rPr>
    </w:tblStylePr>
    <w:tblStylePr w:type="lastRow">
      <w:rPr>
        <w:b/>
        <w:color w:val="245d8d" w:themeColor="accent5" w:themeShade="95"/>
      </w:rPr>
    </w:tblStylePr>
    <w:tblStylePr w:type="wholeTable">
      <w:rPr>
        <w:rFonts w:ascii="Arial" w:hAnsi="Arial"/>
        <w:color w:val="404040" w:themeColor="accent5" w:themeShade="95"/>
        <w:sz w:val="22"/>
      </w:rPr>
    </w:tblStylePr>
  </w:style>
  <w:style w:type="table" w:styleId="96">
    <w:name w:val="Grid Table 6 Colorful - Accent 6"/>
    <w:basedOn w:val="817"/>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45d8d" w:themeColor="accent5" w:themeShade="95"/>
      </w:rPr>
    </w:tblStylePr>
    <w:tblStylePr w:type="firstRow">
      <w:rPr>
        <w:b/>
        <w:color w:val="245d8d" w:themeColor="accent5" w:themeShade="95"/>
      </w:rPr>
      <w:tcPr>
        <w:tcBorders>
          <w:bottom w:val="single" w:color="000000" w:themeColor="accent6" w:sz="12" w:space="0"/>
        </w:tcBorders>
      </w:tcPr>
    </w:tblStylePr>
    <w:tblStylePr w:type="lastCol">
      <w:rPr>
        <w:b/>
        <w:color w:val="245d8d" w:themeColor="accent5" w:themeShade="95"/>
      </w:rPr>
    </w:tblStylePr>
    <w:tblStylePr w:type="lastRow">
      <w:rPr>
        <w:b/>
        <w:color w:val="245d8d" w:themeColor="accent5" w:themeShade="95"/>
      </w:rPr>
    </w:tblStylePr>
    <w:tblStylePr w:type="wholeTable">
      <w:rPr>
        <w:rFonts w:ascii="Arial" w:hAnsi="Arial"/>
        <w:color w:val="404040" w:themeColor="accent5" w:themeShade="95"/>
        <w:sz w:val="22"/>
      </w:rPr>
    </w:tblStylePr>
  </w:style>
  <w:style w:type="table" w:styleId="97">
    <w:name w:val="Grid Table 7 Colorful"/>
    <w:basedOn w:val="817"/>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style>
  <w:style w:type="table" w:styleId="98">
    <w:name w:val="Grid Table 7 Colorful - Accent 1"/>
    <w:basedOn w:val="817"/>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664a9" w:themeColor="accent1" w:themeTint="80" w:themeShade="95"/>
        <w:sz w:val="22"/>
      </w:rPr>
      <w:tcPr>
        <w:shd w:val="clear" w:color="ffffff" w:themeColor="accent1" w:themeTint="34" w:fill="d9e2f2" w:themeFill="accent1" w:themeFillTint="34"/>
      </w:tcPr>
    </w:tblStylePr>
    <w:tblStylePr w:type="band1Vert">
      <w:tcPr>
        <w:shd w:val="clear" w:color="ffffff" w:themeColor="accent1" w:themeTint="34" w:fill="d9e2f2" w:themeFill="accent1" w:themeFillTint="34"/>
      </w:tcPr>
    </w:tblStylePr>
    <w:tblStylePr w:type="band2Horz">
      <w:rPr>
        <w:rFonts w:ascii="Arial" w:hAnsi="Arial"/>
        <w:color w:val="3664a9" w:themeColor="accent1" w:themeTint="80" w:themeShade="95"/>
        <w:sz w:val="22"/>
      </w:rPr>
    </w:tblStylePr>
    <w:tblStylePr w:type="firstCol">
      <w:rPr>
        <w:rFonts w:ascii="Arial" w:hAnsi="Arial"/>
        <w:i/>
        <w:color w:val="3664a9" w:themeColor="accent1" w:themeTint="80" w:themeShade="95"/>
        <w:sz w:val="22"/>
      </w:rPr>
      <w:pPr>
        <w:jc w:val="right"/>
      </w:pPr>
      <w:tcPr>
        <w:shd w:color="ffffff"/>
        <w:tcBorders>
          <w:top w:val="none"/>
          <w:left w:val="none"/>
          <w:bottom w:val="none"/>
          <w:right w:val="single" w:color="000000" w:themeColor="accent1" w:themeTint="80" w:sz="4" w:space="0"/>
        </w:tcBorders>
      </w:tcPr>
    </w:tblStylePr>
    <w:tblStylePr w:type="firstRow">
      <w:rPr>
        <w:rFonts w:ascii="Arial" w:hAnsi="Arial"/>
        <w:b/>
        <w:color w:val="3664a9" w:themeColor="accent1" w:themeTint="80" w:themeShade="95"/>
        <w:sz w:val="22"/>
      </w:r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664a9" w:themeColor="accent1" w:themeTint="80" w:themeShade="95"/>
        <w:sz w:val="22"/>
      </w:rPr>
      <w:tcPr>
        <w:shd w:color="ffffff"/>
        <w:tcBorders>
          <w:top w:val="none"/>
          <w:left w:val="single" w:color="000000" w:themeColor="accent1" w:themeTint="80" w:sz="4" w:space="0"/>
          <w:bottom w:val="none"/>
          <w:right w:val="none"/>
        </w:tcBorders>
      </w:tcPr>
    </w:tblStylePr>
    <w:tblStylePr w:type="lastRow">
      <w:rPr>
        <w:rFonts w:ascii="Arial" w:hAnsi="Arial"/>
        <w:b/>
        <w:color w:val="3664a9" w:themeColor="accent1" w:themeTint="80" w:themeShade="95"/>
        <w:sz w:val="22"/>
      </w:rPr>
      <w:tcPr>
        <w:shd w:val="clear" w:color="ffffff" w:themeColor="light1" w:fill="ffffff" w:themeFill="light1"/>
        <w:tcBorders>
          <w:top w:val="single" w:color="000000" w:themeColor="accent1" w:themeTint="80" w:sz="4" w:space="0"/>
          <w:left w:val="none"/>
          <w:bottom w:val="none"/>
          <w:right w:val="none"/>
        </w:tcBorders>
      </w:tcPr>
    </w:tblStylePr>
  </w:style>
  <w:style w:type="table" w:styleId="99">
    <w:name w:val="Grid Table 7 Colorful - Accent 2"/>
    <w:basedOn w:val="817"/>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style>
  <w:style w:type="table" w:styleId="100">
    <w:name w:val="Grid Table 7 Colorful - Accent 3"/>
    <w:basedOn w:val="817"/>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bottom w:val="none"/>
          <w:right w:val="none"/>
        </w:tcBorders>
      </w:tcPr>
    </w:tblStylePr>
  </w:style>
  <w:style w:type="table" w:styleId="101">
    <w:name w:val="Grid Table 7 Colorful - Accent 4"/>
    <w:basedOn w:val="817"/>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style>
  <w:style w:type="table" w:styleId="102">
    <w:name w:val="Grid Table 7 Colorful - Accent 5"/>
    <w:basedOn w:val="817"/>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45d8d" w:themeColor="accent5" w:themeShade="95"/>
        <w:sz w:val="22"/>
      </w:rPr>
      <w:tcPr>
        <w:shd w:val="clear" w:color="ffffff" w:themeColor="accent5" w:themeTint="34" w:fill="ddebf6" w:themeFill="accent5" w:themeFillTint="34"/>
      </w:tcPr>
    </w:tblStylePr>
    <w:tblStylePr w:type="band1Vert">
      <w:tcPr>
        <w:shd w:val="clear" w:color="ffffff" w:themeColor="accent5" w:themeTint="34" w:fill="ddebf6" w:themeFill="accent5" w:themeFillTint="34"/>
      </w:tcPr>
    </w:tblStylePr>
    <w:tblStylePr w:type="band2Horz">
      <w:rPr>
        <w:rFonts w:ascii="Arial" w:hAnsi="Arial"/>
        <w:color w:val="245d8d" w:themeColor="accent5" w:themeShade="95"/>
        <w:sz w:val="22"/>
      </w:rPr>
    </w:tblStylePr>
    <w:tblStylePr w:type="firstCol">
      <w:rPr>
        <w:rFonts w:ascii="Arial" w:hAnsi="Arial"/>
        <w:i/>
        <w:color w:val="245d8d" w:themeColor="accent5" w:themeShade="95"/>
        <w:sz w:val="22"/>
      </w:rPr>
      <w:pPr>
        <w:jc w:val="right"/>
      </w:pPr>
      <w:tcPr>
        <w:shd w:color="ffffff"/>
        <w:tcBorders>
          <w:top w:val="none"/>
          <w:left w:val="none"/>
          <w:bottom w:val="none"/>
          <w:right w:val="single" w:color="000000" w:themeColor="accent5" w:themeTint="90" w:sz="4" w:space="0"/>
        </w:tcBorders>
      </w:tcPr>
    </w:tblStylePr>
    <w:tblStylePr w:type="firstRow">
      <w:rPr>
        <w:rFonts w:ascii="Arial" w:hAnsi="Arial"/>
        <w:b/>
        <w:color w:val="245d8d" w:themeColor="accent5" w:themeShade="95"/>
        <w:sz w:val="22"/>
      </w:r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45d8d" w:themeColor="accent5" w:themeShade="95"/>
        <w:sz w:val="22"/>
      </w:rPr>
      <w:tcPr>
        <w:shd w:color="ffffff"/>
        <w:tcBorders>
          <w:top w:val="none"/>
          <w:left w:val="single" w:color="000000" w:themeColor="accent5" w:themeTint="90" w:sz="4" w:space="0"/>
          <w:bottom w:val="none"/>
          <w:right w:val="none"/>
        </w:tcBorders>
      </w:tcPr>
    </w:tblStylePr>
    <w:tblStylePr w:type="lastRow">
      <w:rPr>
        <w:rFonts w:ascii="Arial" w:hAnsi="Arial"/>
        <w:b/>
        <w:color w:val="245d8d" w:themeColor="accent5" w:themeShade="95"/>
        <w:sz w:val="22"/>
      </w:rPr>
      <w:tcPr>
        <w:shd w:val="clear" w:color="ffffff" w:themeColor="light1" w:fill="ffffff" w:themeFill="light1"/>
        <w:tcBorders>
          <w:top w:val="single" w:color="000000" w:themeColor="accent5" w:themeTint="90" w:sz="4" w:space="0"/>
          <w:left w:val="none"/>
          <w:bottom w:val="none"/>
          <w:right w:val="none"/>
        </w:tcBorders>
      </w:tcPr>
    </w:tblStylePr>
  </w:style>
  <w:style w:type="table" w:styleId="103">
    <w:name w:val="Grid Table 7 Colorful - Accent 6"/>
    <w:basedOn w:val="817"/>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left w:val="none"/>
          <w:bottom w:val="none"/>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26429" w:themeColor="accent6" w:themeShade="95"/>
        <w:sz w:val="22"/>
      </w:rPr>
      <w:tcPr>
        <w:shd w:color="ffffff"/>
        <w:tcBorders>
          <w:top w:val="none"/>
          <w:left w:val="single" w:color="000000" w:themeColor="accent6" w:themeTint="90" w:sz="4" w:space="0"/>
          <w:bottom w:val="none"/>
          <w:right w:val="none"/>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bottom w:val="none"/>
          <w:right w:val="none"/>
        </w:tcBorders>
      </w:tcPr>
    </w:tblStylePr>
  </w:style>
  <w:style w:type="table" w:styleId="104">
    <w:name w:val="List Table 1 Light"/>
    <w:basedOn w:val="817"/>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105">
    <w:name w:val="List Table 1 Light - Accent 1"/>
    <w:basedOn w:val="817"/>
    <w:uiPriority w:val="99"/>
    <w:pPr>
      <w:spacing w:after="0" w:line="240" w:lineRule="auto"/>
    </w:pPr>
    <w:tblPr>
      <w:tblStyleRowBandSize w:val="1"/>
      <w:tblStyleColBandSize w:val="1"/>
      <w:tblInd w:w="0" w:type="dxa"/>
    </w:tblPr>
    <w:tblStylePr w:type="band1Horz">
      <w:tcPr>
        <w:shd w:val="clear" w:color="ffffff" w:themeColor="accent1" w:themeTint="40" w:fill="cfdcf0" w:themeFill="accent1" w:themeFillTint="40"/>
      </w:tcPr>
    </w:tblStylePr>
    <w:tblStylePr w:type="band1Vert">
      <w:tcPr>
        <w:shd w:val="clear" w:color="ffffff" w:themeColor="accent1" w:themeTint="40" w:fill="cfdcf0"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106">
    <w:name w:val="List Table 1 Light - Accent 2"/>
    <w:basedOn w:val="817"/>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107">
    <w:name w:val="List Table 1 Light - Accent 3"/>
    <w:basedOn w:val="817"/>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108">
    <w:name w:val="List Table 1 Light - Accent 4"/>
    <w:basedOn w:val="817"/>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109">
    <w:name w:val="List Table 1 Light - Accent 5"/>
    <w:basedOn w:val="817"/>
    <w:uiPriority w:val="99"/>
    <w:pPr>
      <w:spacing w:after="0" w:line="240" w:lineRule="auto"/>
    </w:pPr>
    <w:tblPr>
      <w:tblStyleRowBandSize w:val="1"/>
      <w:tblStyleColBandSize w:val="1"/>
      <w:tblInd w:w="0" w:type="dxa"/>
    </w:tblPr>
    <w:tblStylePr w:type="band1Horz">
      <w:tcPr>
        <w:shd w:val="clear" w:color="ffffff" w:themeColor="accent5" w:themeTint="40" w:fill="d5e6f4" w:themeFill="accent5" w:themeFillTint="40"/>
      </w:tcPr>
    </w:tblStylePr>
    <w:tblStylePr w:type="band1Vert">
      <w:tcPr>
        <w:shd w:val="clear" w:color="ffffff" w:themeColor="accent5" w:themeTint="40" w:fill="d5e6f4"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110">
    <w:name w:val="List Table 1 Light - Accent 6"/>
    <w:basedOn w:val="817"/>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111">
    <w:name w:val="List Table 2"/>
    <w:basedOn w:val="817"/>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112">
    <w:name w:val="List Table 2 - Accent 1"/>
    <w:basedOn w:val="817"/>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cfdcf0" w:themeFill="accent1" w:themeFillTint="40"/>
      </w:tcPr>
    </w:tblStylePr>
    <w:tblStylePr w:type="band1Vert">
      <w:rPr>
        <w:rFonts w:ascii="Arial" w:hAnsi="Arial"/>
        <w:color w:val="404040"/>
        <w:sz w:val="22"/>
      </w:rPr>
      <w:tcPr>
        <w:shd w:val="clear" w:color="ffffff" w:themeColor="accent1" w:themeTint="40" w:fill="cfdcf0"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113">
    <w:name w:val="List Table 2 - Accent 2"/>
    <w:basedOn w:val="817"/>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114">
    <w:name w:val="List Table 2 - Accent 3"/>
    <w:basedOn w:val="817"/>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115">
    <w:name w:val="List Table 2 - Accent 4"/>
    <w:basedOn w:val="817"/>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116">
    <w:name w:val="List Table 2 - Accent 5"/>
    <w:basedOn w:val="817"/>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5e6f4" w:themeFill="accent5" w:themeFillTint="40"/>
      </w:tcPr>
    </w:tblStylePr>
    <w:tblStylePr w:type="band1Vert">
      <w:rPr>
        <w:rFonts w:ascii="Arial" w:hAnsi="Arial"/>
        <w:color w:val="404040"/>
        <w:sz w:val="22"/>
      </w:rPr>
      <w:tcPr>
        <w:shd w:val="clear" w:color="ffffff" w:themeColor="accent5" w:themeTint="40" w:fill="d5e6f4"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117">
    <w:name w:val="List Table 2 - Accent 6"/>
    <w:basedOn w:val="817"/>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118">
    <w:name w:val="List Table 3"/>
    <w:basedOn w:val="817"/>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19">
    <w:name w:val="List Table 3 - Accent 1"/>
    <w:basedOn w:val="817"/>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4472c4" w:themeFill="accent1"/>
      </w:tcPr>
    </w:tblStylePr>
    <w:tblStylePr w:type="lastCol">
      <w:rPr>
        <w:b/>
        <w:color w:val="404040"/>
      </w:rPr>
    </w:tblStylePr>
    <w:tblStylePr w:type="lastRow">
      <w:rPr>
        <w:b/>
        <w:color w:val="404040"/>
      </w:rPr>
    </w:tblStylePr>
  </w:style>
  <w:style w:type="table" w:styleId="120">
    <w:name w:val="List Table 3 - Accent 2"/>
    <w:basedOn w:val="817"/>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121">
    <w:name w:val="List Table 3 - Accent 3"/>
    <w:basedOn w:val="817"/>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122">
    <w:name w:val="List Table 3 - Accent 4"/>
    <w:basedOn w:val="817"/>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123">
    <w:name w:val="List Table 3 - Accent 5"/>
    <w:basedOn w:val="817"/>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9cc4e5" w:themeFill="accent5" w:themeFillTint="9A"/>
      </w:tcPr>
    </w:tblStylePr>
    <w:tblStylePr w:type="lastCol">
      <w:rPr>
        <w:b/>
        <w:color w:val="404040"/>
      </w:rPr>
    </w:tblStylePr>
    <w:tblStylePr w:type="lastRow">
      <w:rPr>
        <w:b/>
        <w:color w:val="404040"/>
      </w:rPr>
    </w:tblStylePr>
  </w:style>
  <w:style w:type="table" w:styleId="124">
    <w:name w:val="List Table 3 - Accent 6"/>
    <w:basedOn w:val="817"/>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125">
    <w:name w:val="List Table 4"/>
    <w:basedOn w:val="817"/>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26">
    <w:name w:val="List Table 4 - Accent 1"/>
    <w:basedOn w:val="817"/>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cfdcf0" w:themeFill="accent1" w:themeFillTint="40"/>
      </w:tcPr>
    </w:tblStylePr>
    <w:tblStylePr w:type="band1Vert">
      <w:rPr>
        <w:rFonts w:ascii="Arial" w:hAnsi="Arial"/>
        <w:color w:val="404040"/>
        <w:sz w:val="22"/>
      </w:rPr>
      <w:tcPr>
        <w:shd w:val="clear" w:color="ffffff" w:themeColor="accent1" w:themeTint="40" w:fill="cfdcf0"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4472c4" w:themeFill="accent1"/>
      </w:tcPr>
    </w:tblStylePr>
    <w:tblStylePr w:type="lastCol">
      <w:rPr>
        <w:b/>
        <w:color w:val="404040"/>
      </w:rPr>
    </w:tblStylePr>
    <w:tblStylePr w:type="lastRow">
      <w:rPr>
        <w:b/>
        <w:color w:val="404040"/>
      </w:rPr>
    </w:tblStylePr>
  </w:style>
  <w:style w:type="table" w:styleId="127">
    <w:name w:val="List Table 4 - Accent 2"/>
    <w:basedOn w:val="817"/>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128">
    <w:name w:val="List Table 4 - Accent 3"/>
    <w:basedOn w:val="817"/>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129">
    <w:name w:val="List Table 4 - Accent 4"/>
    <w:basedOn w:val="817"/>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130">
    <w:name w:val="List Table 4 - Accent 5"/>
    <w:basedOn w:val="817"/>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5e6f4" w:themeFill="accent5" w:themeFillTint="40"/>
      </w:tcPr>
    </w:tblStylePr>
    <w:tblStylePr w:type="band1Vert">
      <w:rPr>
        <w:rFonts w:ascii="Arial" w:hAnsi="Arial"/>
        <w:color w:val="404040"/>
        <w:sz w:val="22"/>
      </w:rPr>
      <w:tcPr>
        <w:shd w:val="clear" w:color="ffffff" w:themeColor="accent5" w:themeTint="40" w:fill="d5e6f4"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5b9bd5" w:themeFill="accent5"/>
      </w:tcPr>
    </w:tblStylePr>
    <w:tblStylePr w:type="lastCol">
      <w:rPr>
        <w:b/>
        <w:color w:val="404040"/>
      </w:rPr>
    </w:tblStylePr>
    <w:tblStylePr w:type="lastRow">
      <w:rPr>
        <w:b/>
        <w:color w:val="404040"/>
      </w:rPr>
    </w:tblStylePr>
  </w:style>
  <w:style w:type="table" w:styleId="131">
    <w:name w:val="List Table 4 - Accent 6"/>
    <w:basedOn w:val="817"/>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132">
    <w:name w:val="List Table 5 Dark"/>
    <w:basedOn w:val="817"/>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3">
    <w:name w:val="List Table 5 Dark - Accent 1"/>
    <w:basedOn w:val="817"/>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472c4" w:themeFill="accent1"/>
    </w:tblPr>
    <w:tblStylePr w:type="band1Horz">
      <w:tcPr>
        <w:shd w:val="clear" w:color="ffffff" w:themeColor="accent1" w:fill="4472c4" w:themeFill="accent1"/>
        <w:tcBorders>
          <w:top w:val="single" w:color="000000" w:themeColor="light1" w:sz="4" w:space="0"/>
          <w:bottom w:val="single" w:color="000000" w:themeColor="light1" w:sz="4" w:space="0"/>
        </w:tcBorders>
      </w:tcPr>
    </w:tblStylePr>
    <w:tblStylePr w:type="band1Vert">
      <w:tcPr>
        <w:shd w:val="clear" w:color="ffffff" w:themeColor="accent1" w:fill="4472c4" w:themeFill="accent1"/>
        <w:tcBorders>
          <w:left w:val="single" w:color="000000" w:themeColor="light1" w:sz="4" w:space="0"/>
          <w:right w:val="single" w:color="000000" w:themeColor="light1" w:sz="4" w:space="0"/>
        </w:tcBorders>
      </w:tcPr>
    </w:tblStylePr>
    <w:tblStylePr w:type="band2Horz">
      <w:tcPr>
        <w:shd w:val="clear" w:color="ffffff" w:themeColor="accent1" w:fill="4472c4"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4472c4"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4">
    <w:name w:val="List Table 5 Dark - Accent 2"/>
    <w:basedOn w:val="817"/>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5">
    <w:name w:val="List Table 5 Dark - Accent 3"/>
    <w:basedOn w:val="817"/>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6">
    <w:name w:val="List Table 5 Dark - Accent 4"/>
    <w:basedOn w:val="817"/>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7">
    <w:name w:val="List Table 5 Dark - Accent 5"/>
    <w:basedOn w:val="817"/>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cc4e5" w:themeFill="accent5" w:themeFillTint="9A"/>
    </w:tblPr>
    <w:tblStylePr w:type="band1Horz">
      <w:tcPr>
        <w:shd w:val="clear" w:color="ffffff" w:themeColor="accent5" w:themeTint="9A" w:fill="9cc4e5"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9cc4e5"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9cc4e5"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9cc4e5"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8">
    <w:name w:val="List Table 5 Dark - Accent 6"/>
    <w:basedOn w:val="817"/>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9">
    <w:name w:val="List Table 6 Colorful"/>
    <w:basedOn w:val="817"/>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140">
    <w:name w:val="List Table 6 Colorful - Accent 1"/>
    <w:basedOn w:val="817"/>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cfdcf0" w:themeFill="accent1" w:themeFillTint="40"/>
      </w:tcPr>
    </w:tblStylePr>
    <w:tblStylePr w:type="band1Vert">
      <w:tcPr>
        <w:shd w:val="clear" w:color="ffffff" w:themeColor="accent1" w:themeTint="40" w:fill="cfdcf0" w:themeFill="accent1" w:themeFillTint="40"/>
      </w:tcPr>
    </w:tblStylePr>
    <w:tblStylePr w:type="band2Horz">
      <w:rPr>
        <w:rFonts w:ascii="Arial" w:hAnsi="Arial"/>
        <w:color w:val="404040" w:themeColor="accent1" w:themeShade="95"/>
        <w:sz w:val="22"/>
      </w:rPr>
    </w:tblStylePr>
    <w:tblStylePr w:type="firstCol">
      <w:rPr>
        <w:b/>
        <w:color w:val="254374" w:themeColor="accent1" w:themeShade="95"/>
      </w:rPr>
    </w:tblStylePr>
    <w:tblStylePr w:type="firstRow">
      <w:rPr>
        <w:b/>
        <w:color w:val="254374" w:themeColor="accent1" w:themeShade="95"/>
      </w:rPr>
      <w:tcPr>
        <w:tcBorders>
          <w:bottom w:val="single" w:color="000000" w:themeColor="accent1" w:sz="4" w:space="0"/>
        </w:tcBorders>
      </w:tcPr>
    </w:tblStylePr>
    <w:tblStylePr w:type="lastCol">
      <w:rPr>
        <w:b/>
        <w:color w:val="254374" w:themeColor="accent1" w:themeShade="95"/>
      </w:rPr>
    </w:tblStylePr>
    <w:tblStylePr w:type="lastRow">
      <w:rPr>
        <w:b/>
        <w:color w:val="254374" w:themeColor="accent1" w:themeShade="95"/>
      </w:rPr>
      <w:tcPr>
        <w:tcBorders>
          <w:top w:val="single" w:color="000000" w:themeColor="accent1" w:sz="4" w:space="0"/>
        </w:tcBorders>
      </w:tcPr>
    </w:tblStylePr>
  </w:style>
  <w:style w:type="table" w:styleId="141">
    <w:name w:val="List Table 6 Colorful - Accent 2"/>
    <w:basedOn w:val="817"/>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142">
    <w:name w:val="List Table 6 Colorful - Accent 3"/>
    <w:basedOn w:val="817"/>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143">
    <w:name w:val="List Table 6 Colorful - Accent 4"/>
    <w:basedOn w:val="817"/>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144">
    <w:name w:val="List Table 6 Colorful - Accent 5"/>
    <w:basedOn w:val="817"/>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d5e6f4" w:themeFill="accent5" w:themeFillTint="40"/>
      </w:tcPr>
    </w:tblStylePr>
    <w:tblStylePr w:type="band1Vert">
      <w:tcPr>
        <w:shd w:val="clear" w:color="ffffff" w:themeColor="accent5" w:themeTint="40" w:fill="d5e6f4" w:themeFill="accent5" w:themeFillTint="40"/>
      </w:tcPr>
    </w:tblStylePr>
    <w:tblStylePr w:type="band2Horz">
      <w:rPr>
        <w:rFonts w:ascii="Arial" w:hAnsi="Arial"/>
        <w:color w:val="404040" w:themeColor="accent5" w:themeTint="9A" w:themeShade="95"/>
        <w:sz w:val="22"/>
      </w:rPr>
    </w:tblStylePr>
    <w:tblStylePr w:type="firstCol">
      <w:rPr>
        <w:b/>
        <w:color w:val="2e78b1" w:themeColor="accent5" w:themeTint="9A" w:themeShade="95"/>
      </w:rPr>
    </w:tblStylePr>
    <w:tblStylePr w:type="firstRow">
      <w:rPr>
        <w:b/>
        <w:color w:val="2e78b1" w:themeColor="accent5" w:themeTint="9A" w:themeShade="95"/>
      </w:rPr>
      <w:tcPr>
        <w:tcBorders>
          <w:bottom w:val="single" w:color="000000" w:themeColor="accent5" w:themeTint="9A" w:sz="4" w:space="0"/>
        </w:tcBorders>
      </w:tcPr>
    </w:tblStylePr>
    <w:tblStylePr w:type="lastCol">
      <w:rPr>
        <w:b/>
        <w:color w:val="2e78b1" w:themeColor="accent5" w:themeTint="9A" w:themeShade="95"/>
      </w:rPr>
    </w:tblStylePr>
    <w:tblStylePr w:type="lastRow">
      <w:rPr>
        <w:b/>
        <w:color w:val="2e78b1" w:themeColor="accent5" w:themeTint="9A" w:themeShade="95"/>
      </w:rPr>
      <w:tcPr>
        <w:tcBorders>
          <w:top w:val="single" w:color="000000" w:themeColor="accent5" w:themeTint="9A" w:sz="4" w:space="0"/>
        </w:tcBorders>
      </w:tcPr>
    </w:tblStylePr>
  </w:style>
  <w:style w:type="table" w:styleId="145">
    <w:name w:val="List Table 6 Colorful - Accent 6"/>
    <w:basedOn w:val="817"/>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146">
    <w:name w:val="List Table 7 Colorful"/>
    <w:basedOn w:val="817"/>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tblStylePr w:type="wholeTable">
      <w:rPr>
        <w:rFonts w:ascii="Arial" w:hAnsi="Arial"/>
        <w:color w:val="4a4a4a" w:themeColor="text1" w:themeTint="80" w:themeShade="95"/>
        <w:sz w:val="22"/>
      </w:rPr>
    </w:tblStylePr>
  </w:style>
  <w:style w:type="table" w:styleId="147">
    <w:name w:val="List Table 7 Colorful - Accent 1"/>
    <w:basedOn w:val="817"/>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54374" w:themeColor="accent1" w:themeShade="95"/>
        <w:sz w:val="22"/>
      </w:rPr>
      <w:tcPr>
        <w:shd w:val="clear" w:color="ffffff" w:themeColor="accent1" w:themeTint="40" w:fill="cfdcf0" w:themeFill="accent1" w:themeFillTint="40"/>
      </w:tcPr>
    </w:tblStylePr>
    <w:tblStylePr w:type="band1Vert">
      <w:tcPr>
        <w:shd w:val="clear" w:color="ffffff" w:themeColor="accent1" w:themeTint="40" w:fill="cfdcf0" w:themeFill="accent1" w:themeFillTint="40"/>
      </w:tcPr>
    </w:tblStylePr>
    <w:tblStylePr w:type="band2Horz">
      <w:rPr>
        <w:rFonts w:ascii="Arial" w:hAnsi="Arial"/>
        <w:color w:val="254374" w:themeColor="accent1" w:themeShade="95"/>
        <w:sz w:val="22"/>
      </w:rPr>
    </w:tblStylePr>
    <w:tblStylePr w:type="firstCol">
      <w:rPr>
        <w:rFonts w:ascii="Arial" w:hAnsi="Arial"/>
        <w:i/>
        <w:color w:val="254374" w:themeColor="accent1" w:themeShade="95"/>
        <w:sz w:val="22"/>
      </w:rPr>
      <w:pPr>
        <w:jc w:val="right"/>
      </w:pPr>
      <w:tcPr>
        <w:shd w:color="ffffff"/>
        <w:tcBorders>
          <w:top w:val="none"/>
          <w:left w:val="none"/>
          <w:bottom w:val="none"/>
          <w:right w:val="single" w:color="000000" w:themeColor="accent1" w:sz="4" w:space="0"/>
        </w:tcBorders>
      </w:tcPr>
    </w:tblStylePr>
    <w:tblStylePr w:type="firstRow">
      <w:rPr>
        <w:rFonts w:ascii="Arial" w:hAnsi="Arial"/>
        <w:i/>
        <w:color w:val="254374" w:themeColor="accent1" w:themeShade="95"/>
        <w:sz w:val="22"/>
      </w:r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54374" w:themeColor="accent1" w:themeShade="95"/>
        <w:sz w:val="22"/>
      </w:rPr>
      <w:tcPr>
        <w:shd w:color="ffffff"/>
        <w:tcBorders>
          <w:top w:val="none"/>
          <w:left w:val="single" w:color="000000" w:themeColor="accent1" w:sz="4" w:space="0"/>
          <w:bottom w:val="none"/>
          <w:right w:val="none"/>
        </w:tcBorders>
      </w:tcPr>
    </w:tblStylePr>
    <w:tblStylePr w:type="lastRow">
      <w:rPr>
        <w:rFonts w:ascii="Arial" w:hAnsi="Arial"/>
        <w:i/>
        <w:color w:val="254374" w:themeColor="accent1" w:themeShade="95"/>
        <w:sz w:val="22"/>
      </w:rPr>
      <w:tcPr>
        <w:shd w:val="clear" w:color="ffffff" w:themeColor="light1" w:fill="ffffff" w:themeFill="light1"/>
        <w:tcBorders>
          <w:top w:val="single" w:color="000000" w:themeColor="accent1" w:sz="4" w:space="0"/>
          <w:left w:val="none"/>
          <w:bottom w:val="none"/>
          <w:right w:val="none"/>
        </w:tcBorders>
      </w:tcPr>
    </w:tblStylePr>
    <w:tblStylePr w:type="wholeTable">
      <w:rPr>
        <w:rFonts w:ascii="Arial" w:hAnsi="Arial"/>
        <w:color w:val="254374" w:themeColor="accent1" w:themeShade="95"/>
        <w:sz w:val="22"/>
      </w:rPr>
    </w:tblStylePr>
  </w:style>
  <w:style w:type="table" w:styleId="148">
    <w:name w:val="List Table 7 Colorful - Accent 2"/>
    <w:basedOn w:val="817"/>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tblStylePr w:type="wholeTable">
      <w:rPr>
        <w:rFonts w:ascii="Arial" w:hAnsi="Arial"/>
        <w:color w:val="c95712" w:themeColor="accent2" w:themeTint="97" w:themeShade="95"/>
        <w:sz w:val="22"/>
      </w:rPr>
    </w:tblStylePr>
  </w:style>
  <w:style w:type="table" w:styleId="149">
    <w:name w:val="List Table 7 Colorful - Accent 3"/>
    <w:basedOn w:val="817"/>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bottom w:val="none"/>
          <w:right w:val="none"/>
        </w:tcBorders>
      </w:tcPr>
    </w:tblStylePr>
    <w:tblStylePr w:type="wholeTable">
      <w:rPr>
        <w:rFonts w:ascii="Arial" w:hAnsi="Arial"/>
        <w:color w:val="757575" w:themeColor="accent3" w:themeTint="98" w:themeShade="95"/>
        <w:sz w:val="22"/>
      </w:rPr>
    </w:tblStylePr>
  </w:style>
  <w:style w:type="table" w:styleId="150">
    <w:name w:val="List Table 7 Colorful - Accent 4"/>
    <w:basedOn w:val="817"/>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tblStylePr w:type="wholeTable">
      <w:rPr>
        <w:rFonts w:ascii="Arial" w:hAnsi="Arial"/>
        <w:color w:val="cd9600" w:themeColor="accent4" w:themeTint="9A" w:themeShade="95"/>
        <w:sz w:val="22"/>
      </w:rPr>
    </w:tblStylePr>
  </w:style>
  <w:style w:type="table" w:styleId="151">
    <w:name w:val="List Table 7 Colorful - Accent 5"/>
    <w:basedOn w:val="817"/>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2e78b1" w:themeColor="accent5" w:themeTint="9A" w:themeShade="95"/>
        <w:sz w:val="22"/>
      </w:rPr>
      <w:tcPr>
        <w:shd w:val="clear" w:color="ffffff" w:themeColor="accent5" w:themeTint="40" w:fill="d5e6f4" w:themeFill="accent5" w:themeFillTint="40"/>
      </w:tcPr>
    </w:tblStylePr>
    <w:tblStylePr w:type="band1Vert">
      <w:tcPr>
        <w:shd w:val="clear" w:color="ffffff" w:themeColor="accent5" w:themeTint="40" w:fill="d5e6f4" w:themeFill="accent5" w:themeFillTint="40"/>
      </w:tcPr>
    </w:tblStylePr>
    <w:tblStylePr w:type="band2Horz">
      <w:rPr>
        <w:rFonts w:ascii="Arial" w:hAnsi="Arial"/>
        <w:color w:val="2e78b1" w:themeColor="accent5" w:themeTint="9A" w:themeShade="95"/>
        <w:sz w:val="22"/>
      </w:rPr>
    </w:tblStylePr>
    <w:tblStylePr w:type="firstCol">
      <w:rPr>
        <w:rFonts w:ascii="Arial" w:hAnsi="Arial"/>
        <w:i/>
        <w:color w:val="2e78b1" w:themeColor="accent5" w:themeTint="9A" w:themeShade="95"/>
        <w:sz w:val="22"/>
      </w:rPr>
      <w:pPr>
        <w:jc w:val="right"/>
      </w:pPr>
      <w:tcPr>
        <w:shd w:color="ffffff"/>
        <w:tcBorders>
          <w:top w:val="none"/>
          <w:left w:val="none"/>
          <w:bottom w:val="none"/>
          <w:right w:val="single" w:color="000000" w:themeColor="accent5" w:themeTint="9A" w:sz="4" w:space="0"/>
        </w:tcBorders>
      </w:tcPr>
    </w:tblStylePr>
    <w:tblStylePr w:type="firstRow">
      <w:rPr>
        <w:rFonts w:ascii="Arial" w:hAnsi="Arial"/>
        <w:i/>
        <w:color w:val="2e78b1" w:themeColor="accent5" w:themeTint="9A" w:themeShade="95"/>
        <w:sz w:val="22"/>
      </w:r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2e78b1" w:themeColor="accent5" w:themeTint="9A" w:themeShade="95"/>
        <w:sz w:val="22"/>
      </w:rPr>
      <w:tcPr>
        <w:shd w:color="ffffff"/>
        <w:tcBorders>
          <w:top w:val="none"/>
          <w:left w:val="single" w:color="000000" w:themeColor="accent5" w:themeTint="9A" w:sz="4" w:space="0"/>
          <w:bottom w:val="none"/>
          <w:right w:val="none"/>
        </w:tcBorders>
      </w:tcPr>
    </w:tblStylePr>
    <w:tblStylePr w:type="lastRow">
      <w:rPr>
        <w:rFonts w:ascii="Arial" w:hAnsi="Arial"/>
        <w:i/>
        <w:color w:val="2e78b1" w:themeColor="accent5" w:themeTint="9A" w:themeShade="95"/>
        <w:sz w:val="22"/>
      </w:rPr>
      <w:tcPr>
        <w:shd w:val="clear" w:color="ffffff" w:themeColor="light1" w:fill="ffffff" w:themeFill="light1"/>
        <w:tcBorders>
          <w:top w:val="single" w:color="000000" w:themeColor="accent5" w:themeTint="9A" w:sz="4" w:space="0"/>
          <w:left w:val="none"/>
          <w:bottom w:val="none"/>
          <w:right w:val="none"/>
        </w:tcBorders>
      </w:tcPr>
    </w:tblStylePr>
    <w:tblStylePr w:type="wholeTable">
      <w:rPr>
        <w:rFonts w:ascii="Arial" w:hAnsi="Arial"/>
        <w:color w:val="2e78b1" w:themeColor="accent5" w:themeTint="9A" w:themeShade="95"/>
        <w:sz w:val="22"/>
      </w:rPr>
    </w:tblStylePr>
  </w:style>
  <w:style w:type="table" w:styleId="152">
    <w:name w:val="List Table 7 Colorful - Accent 6"/>
    <w:basedOn w:val="817"/>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left w:val="none"/>
          <w:bottom w:val="none"/>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f8f3c" w:themeColor="accent6" w:themeTint="98" w:themeShade="95"/>
        <w:sz w:val="22"/>
      </w:rPr>
      <w:tcPr>
        <w:shd w:color="ffffff"/>
        <w:tcBorders>
          <w:top w:val="none"/>
          <w:left w:val="single" w:color="000000" w:themeColor="accent6" w:themeTint="98" w:sz="4" w:space="0"/>
          <w:bottom w:val="none"/>
          <w:right w:val="none"/>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bottom w:val="none"/>
          <w:right w:val="none"/>
        </w:tcBorders>
      </w:tcPr>
    </w:tblStylePr>
    <w:tblStylePr w:type="wholeTable">
      <w:rPr>
        <w:rFonts w:ascii="Arial" w:hAnsi="Arial"/>
        <w:color w:val="5f8f3c" w:themeColor="accent6" w:themeTint="98" w:themeShade="95"/>
        <w:sz w:val="22"/>
      </w:rPr>
    </w:tblStylePr>
  </w:style>
  <w:style w:type="table" w:styleId="153">
    <w:name w:val="Lined - Accent"/>
    <w:basedOn w:val="81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54">
    <w:name w:val="Lined - Accent 1"/>
    <w:basedOn w:val="81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3d3ec" w:themeFill="accent1" w:themeFillTint="50"/>
      </w:tcPr>
    </w:tblStylePr>
    <w:tblStylePr w:type="band2Vert">
      <w:rPr>
        <w:rFonts w:ascii="Arial" w:hAnsi="Arial"/>
        <w:color w:val="404040"/>
        <w:sz w:val="22"/>
      </w:rPr>
      <w:tcPr>
        <w:shd w:val="clear" w:color="ffffff" w:themeColor="accent1" w:themeTint="50" w:fill="c3d3ec" w:themeFill="accent1" w:themeFillTint="50"/>
      </w:tcPr>
    </w:tblStylePr>
    <w:tblStylePr w:type="firstCol">
      <w:rPr>
        <w:rFonts w:ascii="Arial" w:hAnsi="Arial"/>
        <w:color w:val="f2f2f2"/>
        <w:sz w:val="22"/>
      </w:rPr>
      <w:tcPr>
        <w:shd w:val="clear" w:color="ffffff" w:themeColor="accent1" w:themeTint="EA" w:fill="537fc8" w:themeFill="accent1" w:themeFillTint="EA"/>
      </w:tcPr>
    </w:tblStylePr>
    <w:tblStylePr w:type="firstRow">
      <w:rPr>
        <w:rFonts w:ascii="Arial" w:hAnsi="Arial"/>
        <w:color w:val="f2f2f2"/>
        <w:sz w:val="22"/>
      </w:rPr>
      <w:tcPr>
        <w:shd w:val="clear" w:color="ffffff" w:themeColor="accent1" w:themeTint="EA" w:fill="537fc8" w:themeFill="accent1" w:themeFillTint="EA"/>
      </w:tcPr>
    </w:tblStylePr>
    <w:tblStylePr w:type="lastCol">
      <w:rPr>
        <w:rFonts w:ascii="Arial" w:hAnsi="Arial"/>
        <w:color w:val="f2f2f2"/>
        <w:sz w:val="22"/>
      </w:rPr>
      <w:tcPr>
        <w:shd w:val="clear" w:color="ffffff" w:themeColor="accent1" w:themeTint="EA" w:fill="537fc8" w:themeFill="accent1" w:themeFillTint="EA"/>
      </w:tcPr>
    </w:tblStylePr>
    <w:tblStylePr w:type="lastRow">
      <w:rPr>
        <w:rFonts w:ascii="Arial" w:hAnsi="Arial"/>
        <w:color w:val="f2f2f2"/>
        <w:sz w:val="22"/>
      </w:rPr>
      <w:tcPr>
        <w:shd w:val="clear" w:color="ffffff" w:themeColor="accent1" w:themeTint="EA" w:fill="537fc8" w:themeFill="accent1" w:themeFillTint="EA"/>
      </w:tcPr>
    </w:tblStylePr>
  </w:style>
  <w:style w:type="table" w:styleId="155">
    <w:name w:val="Lined - Accent 2"/>
    <w:basedOn w:val="81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56">
    <w:name w:val="Lined - Accent 3"/>
    <w:basedOn w:val="81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57">
    <w:name w:val="Lined - Accent 4"/>
    <w:basedOn w:val="81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58">
    <w:name w:val="Lined - Accent 5"/>
    <w:basedOn w:val="81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debf6" w:themeFill="accent5" w:themeFillTint="34"/>
      </w:tcPr>
    </w:tblStylePr>
    <w:tblStylePr w:type="band2Vert">
      <w:rPr>
        <w:rFonts w:ascii="Arial" w:hAnsi="Arial"/>
        <w:color w:val="404040"/>
        <w:sz w:val="22"/>
      </w:rPr>
      <w:tcPr>
        <w:shd w:val="clear" w:color="ffffff" w:themeColor="accent5" w:themeTint="34" w:fill="ddebf6" w:themeFill="accent5" w:themeFillTint="34"/>
      </w:tcPr>
    </w:tblStylePr>
    <w:tblStylePr w:type="firstCol">
      <w:rPr>
        <w:rFonts w:ascii="Arial" w:hAnsi="Arial"/>
        <w:color w:val="f2f2f2"/>
        <w:sz w:val="22"/>
      </w:rPr>
      <w:tcPr>
        <w:shd w:val="clear" w:color="ffffff" w:themeColor="accent5" w:fill="5b9bd5" w:themeFill="accent5"/>
      </w:tcPr>
    </w:tblStylePr>
    <w:tblStylePr w:type="firstRow">
      <w:rPr>
        <w:rFonts w:ascii="Arial" w:hAnsi="Arial"/>
        <w:color w:val="f2f2f2"/>
        <w:sz w:val="22"/>
      </w:rPr>
      <w:tcPr>
        <w:shd w:val="clear" w:color="ffffff" w:themeColor="accent5" w:fill="5b9bd5" w:themeFill="accent5"/>
      </w:tcPr>
    </w:tblStylePr>
    <w:tblStylePr w:type="lastCol">
      <w:rPr>
        <w:rFonts w:ascii="Arial" w:hAnsi="Arial"/>
        <w:color w:val="f2f2f2"/>
        <w:sz w:val="22"/>
      </w:rPr>
      <w:tcPr>
        <w:shd w:val="clear" w:color="ffffff" w:themeColor="accent5" w:fill="5b9bd5" w:themeFill="accent5"/>
      </w:tcPr>
    </w:tblStylePr>
    <w:tblStylePr w:type="lastRow">
      <w:rPr>
        <w:rFonts w:ascii="Arial" w:hAnsi="Arial"/>
        <w:color w:val="f2f2f2"/>
        <w:sz w:val="22"/>
      </w:rPr>
      <w:tcPr>
        <w:shd w:val="clear" w:color="ffffff" w:themeColor="accent5" w:fill="5b9bd5" w:themeFill="accent5"/>
      </w:tcPr>
    </w:tblStylePr>
  </w:style>
  <w:style w:type="table" w:styleId="159">
    <w:name w:val="Lined - Accent 6"/>
    <w:basedOn w:val="817"/>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60">
    <w:name w:val="Bordered &amp; Lined - Accent"/>
    <w:basedOn w:val="817"/>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61">
    <w:name w:val="Bordered &amp; Lined - Accent 1"/>
    <w:basedOn w:val="817"/>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3d3ec" w:themeFill="accent1" w:themeFillTint="50"/>
      </w:tcPr>
    </w:tblStylePr>
    <w:tblStylePr w:type="band2Vert">
      <w:rPr>
        <w:rFonts w:ascii="Arial" w:hAnsi="Arial"/>
        <w:color w:val="404040"/>
        <w:sz w:val="22"/>
      </w:rPr>
      <w:tcPr>
        <w:shd w:val="clear" w:color="ffffff" w:themeColor="accent1" w:themeTint="50" w:fill="c3d3ec" w:themeFill="accent1" w:themeFillTint="50"/>
      </w:tcPr>
    </w:tblStylePr>
    <w:tblStylePr w:type="firstCol">
      <w:rPr>
        <w:rFonts w:ascii="Arial" w:hAnsi="Arial"/>
        <w:color w:val="f2f2f2"/>
        <w:sz w:val="22"/>
      </w:rPr>
      <w:tcPr>
        <w:shd w:val="clear" w:color="ffffff" w:themeColor="accent1" w:themeTint="EA" w:fill="537fc8" w:themeFill="accent1" w:themeFillTint="EA"/>
      </w:tcPr>
    </w:tblStylePr>
    <w:tblStylePr w:type="firstRow">
      <w:rPr>
        <w:rFonts w:ascii="Arial" w:hAnsi="Arial"/>
        <w:color w:val="f2f2f2"/>
        <w:sz w:val="22"/>
      </w:rPr>
      <w:tcPr>
        <w:shd w:val="clear" w:color="ffffff" w:themeColor="accent1" w:themeTint="EA" w:fill="537fc8" w:themeFill="accent1" w:themeFillTint="EA"/>
      </w:tcPr>
    </w:tblStylePr>
    <w:tblStylePr w:type="lastCol">
      <w:rPr>
        <w:rFonts w:ascii="Arial" w:hAnsi="Arial"/>
        <w:color w:val="f2f2f2"/>
        <w:sz w:val="22"/>
      </w:rPr>
      <w:tcPr>
        <w:shd w:val="clear" w:color="ffffff" w:themeColor="accent1" w:themeTint="EA" w:fill="537fc8" w:themeFill="accent1" w:themeFillTint="EA"/>
      </w:tcPr>
    </w:tblStylePr>
    <w:tblStylePr w:type="lastRow">
      <w:rPr>
        <w:rFonts w:ascii="Arial" w:hAnsi="Arial"/>
        <w:color w:val="f2f2f2"/>
        <w:sz w:val="22"/>
      </w:rPr>
      <w:tcPr>
        <w:shd w:val="clear" w:color="ffffff" w:themeColor="accent1" w:themeTint="EA" w:fill="537fc8" w:themeFill="accent1" w:themeFillTint="EA"/>
      </w:tcPr>
    </w:tblStylePr>
  </w:style>
  <w:style w:type="table" w:styleId="162">
    <w:name w:val="Bordered &amp; Lined - Accent 2"/>
    <w:basedOn w:val="817"/>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63">
    <w:name w:val="Bordered &amp; Lined - Accent 3"/>
    <w:basedOn w:val="817"/>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64">
    <w:name w:val="Bordered &amp; Lined - Accent 4"/>
    <w:basedOn w:val="817"/>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65">
    <w:name w:val="Bordered &amp; Lined - Accent 5"/>
    <w:basedOn w:val="817"/>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debf6" w:themeFill="accent5" w:themeFillTint="34"/>
      </w:tcPr>
    </w:tblStylePr>
    <w:tblStylePr w:type="band2Vert">
      <w:rPr>
        <w:rFonts w:ascii="Arial" w:hAnsi="Arial"/>
        <w:color w:val="404040"/>
        <w:sz w:val="22"/>
      </w:rPr>
      <w:tcPr>
        <w:shd w:val="clear" w:color="ffffff" w:themeColor="accent5" w:themeTint="34" w:fill="ddebf6" w:themeFill="accent5" w:themeFillTint="34"/>
      </w:tcPr>
    </w:tblStylePr>
    <w:tblStylePr w:type="firstCol">
      <w:rPr>
        <w:rFonts w:ascii="Arial" w:hAnsi="Arial"/>
        <w:color w:val="f2f2f2"/>
        <w:sz w:val="22"/>
      </w:rPr>
      <w:tcPr>
        <w:shd w:val="clear" w:color="ffffff" w:themeColor="accent5" w:fill="5b9bd5" w:themeFill="accent5"/>
      </w:tcPr>
    </w:tblStylePr>
    <w:tblStylePr w:type="firstRow">
      <w:rPr>
        <w:rFonts w:ascii="Arial" w:hAnsi="Arial"/>
        <w:color w:val="f2f2f2"/>
        <w:sz w:val="22"/>
      </w:rPr>
      <w:tcPr>
        <w:shd w:val="clear" w:color="ffffff" w:themeColor="accent5" w:fill="5b9bd5" w:themeFill="accent5"/>
      </w:tcPr>
    </w:tblStylePr>
    <w:tblStylePr w:type="lastCol">
      <w:rPr>
        <w:rFonts w:ascii="Arial" w:hAnsi="Arial"/>
        <w:color w:val="f2f2f2"/>
        <w:sz w:val="22"/>
      </w:rPr>
      <w:tcPr>
        <w:shd w:val="clear" w:color="ffffff" w:themeColor="accent5" w:fill="5b9bd5" w:themeFill="accent5"/>
      </w:tcPr>
    </w:tblStylePr>
    <w:tblStylePr w:type="lastRow">
      <w:rPr>
        <w:rFonts w:ascii="Arial" w:hAnsi="Arial"/>
        <w:color w:val="f2f2f2"/>
        <w:sz w:val="22"/>
      </w:rPr>
      <w:tcPr>
        <w:shd w:val="clear" w:color="ffffff" w:themeColor="accent5" w:fill="5b9bd5" w:themeFill="accent5"/>
      </w:tcPr>
    </w:tblStylePr>
  </w:style>
  <w:style w:type="table" w:styleId="166">
    <w:name w:val="Bordered &amp; Lined - Accent 6"/>
    <w:basedOn w:val="817"/>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67">
    <w:name w:val="Bordered"/>
    <w:basedOn w:val="817"/>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168">
    <w:name w:val="Bordered - Accent 1"/>
    <w:basedOn w:val="817"/>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169">
    <w:name w:val="Bordered - Accent 2"/>
    <w:basedOn w:val="817"/>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170">
    <w:name w:val="Bordered - Accent 3"/>
    <w:basedOn w:val="817"/>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171">
    <w:name w:val="Bordered - Accent 4"/>
    <w:basedOn w:val="817"/>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172">
    <w:name w:val="Bordered - Accent 5"/>
    <w:basedOn w:val="817"/>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173">
    <w:name w:val="Bordered - Accent 6"/>
    <w:basedOn w:val="817"/>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176">
    <w:name w:val="Footnote Text Char"/>
    <w:link w:val="834"/>
    <w:uiPriority w:val="99"/>
    <w:rPr>
      <w:sz w:val="18"/>
    </w:rPr>
  </w:style>
  <w:style w:type="paragraph" w:styleId="178">
    <w:name w:val="endnote text"/>
    <w:basedOn w:val="813"/>
    <w:link w:val="179"/>
    <w:uiPriority w:val="99"/>
    <w:semiHidden/>
    <w:unhideWhenUsed/>
    <w:pPr>
      <w:spacing w:after="0" w:line="240" w:lineRule="auto"/>
    </w:pPr>
    <w:rPr>
      <w:sz w:val="20"/>
    </w:rPr>
  </w:style>
  <w:style w:type="character" w:styleId="179">
    <w:name w:val="Endnote Text Char"/>
    <w:link w:val="178"/>
    <w:uiPriority w:val="99"/>
    <w:rPr>
      <w:sz w:val="20"/>
    </w:rPr>
  </w:style>
  <w:style w:type="character" w:styleId="180">
    <w:name w:val="endnote reference"/>
    <w:basedOn w:val="816"/>
    <w:uiPriority w:val="99"/>
    <w:semiHidden/>
    <w:unhideWhenUsed/>
    <w:rPr>
      <w:vertAlign w:val="superscript"/>
    </w:rPr>
  </w:style>
  <w:style w:type="paragraph" w:styleId="181">
    <w:name w:val="toc 1"/>
    <w:basedOn w:val="813"/>
    <w:next w:val="813"/>
    <w:uiPriority w:val="39"/>
    <w:unhideWhenUsed/>
    <w:pPr>
      <w:ind w:left="0" w:right="0" w:firstLine="0"/>
      <w:spacing w:after="57"/>
    </w:pPr>
  </w:style>
  <w:style w:type="paragraph" w:styleId="182">
    <w:name w:val="toc 2"/>
    <w:basedOn w:val="813"/>
    <w:next w:val="813"/>
    <w:uiPriority w:val="39"/>
    <w:unhideWhenUsed/>
    <w:pPr>
      <w:ind w:left="283" w:right="0" w:firstLine="0"/>
      <w:spacing w:after="57"/>
    </w:pPr>
  </w:style>
  <w:style w:type="paragraph" w:styleId="183">
    <w:name w:val="toc 3"/>
    <w:basedOn w:val="813"/>
    <w:next w:val="813"/>
    <w:uiPriority w:val="39"/>
    <w:unhideWhenUsed/>
    <w:pPr>
      <w:ind w:left="567" w:right="0" w:firstLine="0"/>
      <w:spacing w:after="57"/>
    </w:pPr>
  </w:style>
  <w:style w:type="paragraph" w:styleId="184">
    <w:name w:val="toc 4"/>
    <w:basedOn w:val="813"/>
    <w:next w:val="813"/>
    <w:uiPriority w:val="39"/>
    <w:unhideWhenUsed/>
    <w:pPr>
      <w:ind w:left="850" w:right="0" w:firstLine="0"/>
      <w:spacing w:after="57"/>
    </w:pPr>
  </w:style>
  <w:style w:type="paragraph" w:styleId="185">
    <w:name w:val="toc 5"/>
    <w:basedOn w:val="813"/>
    <w:next w:val="813"/>
    <w:uiPriority w:val="39"/>
    <w:unhideWhenUsed/>
    <w:pPr>
      <w:ind w:left="1134" w:right="0" w:firstLine="0"/>
      <w:spacing w:after="57"/>
    </w:pPr>
  </w:style>
  <w:style w:type="paragraph" w:styleId="186">
    <w:name w:val="toc 6"/>
    <w:basedOn w:val="813"/>
    <w:next w:val="813"/>
    <w:uiPriority w:val="39"/>
    <w:unhideWhenUsed/>
    <w:pPr>
      <w:ind w:left="1417" w:right="0" w:firstLine="0"/>
      <w:spacing w:after="57"/>
    </w:pPr>
  </w:style>
  <w:style w:type="paragraph" w:styleId="187">
    <w:name w:val="toc 7"/>
    <w:basedOn w:val="813"/>
    <w:next w:val="813"/>
    <w:uiPriority w:val="39"/>
    <w:unhideWhenUsed/>
    <w:pPr>
      <w:ind w:left="1701" w:right="0" w:firstLine="0"/>
      <w:spacing w:after="57"/>
    </w:pPr>
  </w:style>
  <w:style w:type="paragraph" w:styleId="188">
    <w:name w:val="toc 8"/>
    <w:basedOn w:val="813"/>
    <w:next w:val="813"/>
    <w:uiPriority w:val="39"/>
    <w:unhideWhenUsed/>
    <w:pPr>
      <w:ind w:left="1984" w:right="0" w:firstLine="0"/>
      <w:spacing w:after="57"/>
    </w:pPr>
  </w:style>
  <w:style w:type="paragraph" w:styleId="189">
    <w:name w:val="toc 9"/>
    <w:basedOn w:val="813"/>
    <w:next w:val="813"/>
    <w:uiPriority w:val="39"/>
    <w:unhideWhenUsed/>
    <w:pPr>
      <w:ind w:left="2268" w:right="0" w:firstLine="0"/>
      <w:spacing w:after="57"/>
    </w:pPr>
  </w:style>
  <w:style w:type="paragraph" w:styleId="190">
    <w:name w:val="TOC Heading"/>
    <w:uiPriority w:val="39"/>
    <w:unhideWhenUsed/>
  </w:style>
  <w:style w:type="paragraph" w:styleId="191">
    <w:name w:val="table of figures"/>
    <w:basedOn w:val="813"/>
    <w:next w:val="813"/>
    <w:uiPriority w:val="99"/>
    <w:unhideWhenUsed/>
    <w:pPr>
      <w:spacing w:after="0" w:afterAutospacing="0"/>
    </w:pPr>
  </w:style>
  <w:style w:type="paragraph" w:styleId="813" w:default="1">
    <w:name w:val="Normal"/>
    <w:qFormat/>
  </w:style>
  <w:style w:type="paragraph" w:styleId="814">
    <w:name w:val="Heading 1"/>
    <w:basedOn w:val="813"/>
    <w:link w:val="837"/>
    <w:uiPriority w:val="9"/>
    <w:qFormat/>
    <w:pPr>
      <w:ind w:left="3417" w:right="1732"/>
      <w:spacing w:before="271"/>
      <w:widowControl w:val="off"/>
      <w:outlineLvl w:val="0"/>
    </w:pPr>
    <w:rPr>
      <w:rFonts w:ascii="Times New Roman" w:hAnsi="Times New Roman" w:eastAsia="Times New Roman" w:cs="Times New Roman"/>
      <w:sz w:val="70"/>
      <w:szCs w:val="70"/>
      <w:lang w:eastAsia="de-DE" w:bidi="de-DE"/>
    </w:rPr>
  </w:style>
  <w:style w:type="paragraph" w:styleId="815">
    <w:name w:val="Heading 5"/>
    <w:basedOn w:val="813"/>
    <w:link w:val="826"/>
    <w:uiPriority w:val="9"/>
    <w:qFormat/>
    <w:pPr>
      <w:spacing w:before="100" w:beforeAutospacing="1" w:after="100" w:afterAutospacing="1"/>
      <w:outlineLvl w:val="4"/>
    </w:pPr>
    <w:rPr>
      <w:rFonts w:ascii="Times New Roman" w:hAnsi="Times New Roman" w:eastAsia="Times New Roman" w:cs="Times New Roman"/>
      <w:b/>
      <w:bCs/>
      <w:sz w:val="20"/>
      <w:szCs w:val="20"/>
      <w:lang w:eastAsia="de-DE"/>
    </w:rPr>
  </w:style>
  <w:style w:type="character" w:styleId="816" w:default="1">
    <w:name w:val="Default Paragraph Font"/>
    <w:uiPriority w:val="1"/>
    <w:semiHidden/>
    <w:unhideWhenUsed/>
  </w:style>
  <w:style w:type="table" w:styleId="817" w:default="1">
    <w:name w:val="Normal Table"/>
    <w:uiPriority w:val="99"/>
    <w:semiHidden/>
    <w:unhideWhenUsed/>
    <w:tblPr>
      <w:tblInd w:w="0" w:type="dxa"/>
      <w:tblCellMar>
        <w:left w:w="108" w:type="dxa"/>
        <w:top w:w="0" w:type="dxa"/>
        <w:right w:w="108" w:type="dxa"/>
        <w:bottom w:w="0" w:type="dxa"/>
      </w:tblCellMar>
    </w:tblPr>
  </w:style>
  <w:style w:type="numbering" w:styleId="818" w:default="1">
    <w:name w:val="No List"/>
    <w:uiPriority w:val="99"/>
    <w:semiHidden/>
    <w:unhideWhenUsed/>
  </w:style>
  <w:style w:type="paragraph" w:styleId="819">
    <w:name w:val="List Paragraph"/>
    <w:basedOn w:val="813"/>
    <w:uiPriority w:val="34"/>
    <w:qFormat/>
    <w:pPr>
      <w:contextualSpacing/>
      <w:ind w:left="720"/>
    </w:pPr>
  </w:style>
  <w:style w:type="character" w:styleId="820">
    <w:name w:val="Hyperlink"/>
    <w:basedOn w:val="816"/>
    <w:uiPriority w:val="99"/>
    <w:unhideWhenUsed/>
    <w:rPr>
      <w:color w:val="0563c1" w:themeColor="hyperlink"/>
      <w:u w:val="single"/>
    </w:rPr>
  </w:style>
  <w:style w:type="character" w:styleId="821">
    <w:name w:val="Unresolved Mention"/>
    <w:basedOn w:val="816"/>
    <w:uiPriority w:val="99"/>
    <w:semiHidden/>
    <w:unhideWhenUsed/>
    <w:rPr>
      <w:color w:val="605e5c"/>
      <w:shd w:val="clear" w:color="auto" w:fill="e1dfdd"/>
    </w:rPr>
  </w:style>
  <w:style w:type="paragraph" w:styleId="822">
    <w:name w:val="Header"/>
    <w:basedOn w:val="813"/>
    <w:link w:val="823"/>
    <w:uiPriority w:val="99"/>
    <w:unhideWhenUsed/>
    <w:pPr>
      <w:tabs>
        <w:tab w:val="center" w:pos="4536" w:leader="none"/>
        <w:tab w:val="right" w:pos="9072" w:leader="none"/>
      </w:tabs>
    </w:pPr>
  </w:style>
  <w:style w:type="character" w:styleId="823" w:customStyle="1">
    <w:name w:val="Kopfzeile Zchn"/>
    <w:basedOn w:val="816"/>
    <w:link w:val="822"/>
    <w:uiPriority w:val="99"/>
  </w:style>
  <w:style w:type="paragraph" w:styleId="824">
    <w:name w:val="Footer"/>
    <w:basedOn w:val="813"/>
    <w:link w:val="825"/>
    <w:uiPriority w:val="99"/>
    <w:unhideWhenUsed/>
    <w:pPr>
      <w:tabs>
        <w:tab w:val="center" w:pos="4536" w:leader="none"/>
        <w:tab w:val="right" w:pos="9072" w:leader="none"/>
      </w:tabs>
    </w:pPr>
  </w:style>
  <w:style w:type="character" w:styleId="825" w:customStyle="1">
    <w:name w:val="Fußzeile Zchn"/>
    <w:basedOn w:val="816"/>
    <w:link w:val="824"/>
    <w:uiPriority w:val="99"/>
  </w:style>
  <w:style w:type="character" w:styleId="826" w:customStyle="1">
    <w:name w:val="Überschrift 5 Zchn"/>
    <w:basedOn w:val="816"/>
    <w:link w:val="815"/>
    <w:uiPriority w:val="9"/>
    <w:rPr>
      <w:rFonts w:ascii="Times New Roman" w:hAnsi="Times New Roman" w:eastAsia="Times New Roman" w:cs="Times New Roman"/>
      <w:b/>
      <w:bCs/>
      <w:sz w:val="20"/>
      <w:szCs w:val="20"/>
      <w:lang w:eastAsia="de-DE"/>
    </w:rPr>
  </w:style>
  <w:style w:type="character" w:styleId="827">
    <w:name w:val="annotation reference"/>
    <w:basedOn w:val="816"/>
    <w:uiPriority w:val="99"/>
    <w:semiHidden/>
    <w:unhideWhenUsed/>
    <w:rPr>
      <w:sz w:val="16"/>
      <w:szCs w:val="16"/>
    </w:rPr>
  </w:style>
  <w:style w:type="paragraph" w:styleId="828">
    <w:name w:val="annotation text"/>
    <w:basedOn w:val="813"/>
    <w:link w:val="829"/>
    <w:uiPriority w:val="99"/>
    <w:semiHidden/>
    <w:unhideWhenUsed/>
    <w:rPr>
      <w:sz w:val="20"/>
      <w:szCs w:val="20"/>
    </w:rPr>
  </w:style>
  <w:style w:type="character" w:styleId="829" w:customStyle="1">
    <w:name w:val="Kommentartext Zchn"/>
    <w:basedOn w:val="816"/>
    <w:link w:val="828"/>
    <w:uiPriority w:val="99"/>
    <w:semiHidden/>
    <w:rPr>
      <w:sz w:val="20"/>
      <w:szCs w:val="20"/>
    </w:rPr>
  </w:style>
  <w:style w:type="paragraph" w:styleId="830">
    <w:name w:val="annotation subject"/>
    <w:basedOn w:val="828"/>
    <w:next w:val="828"/>
    <w:link w:val="831"/>
    <w:uiPriority w:val="99"/>
    <w:semiHidden/>
    <w:unhideWhenUsed/>
    <w:rPr>
      <w:b/>
      <w:bCs/>
    </w:rPr>
  </w:style>
  <w:style w:type="character" w:styleId="831" w:customStyle="1">
    <w:name w:val="Kommentarthema Zchn"/>
    <w:basedOn w:val="829"/>
    <w:link w:val="830"/>
    <w:uiPriority w:val="99"/>
    <w:semiHidden/>
    <w:rPr>
      <w:b/>
      <w:bCs/>
      <w:sz w:val="20"/>
      <w:szCs w:val="20"/>
    </w:rPr>
  </w:style>
  <w:style w:type="character" w:styleId="832">
    <w:name w:val="FollowedHyperlink"/>
    <w:basedOn w:val="816"/>
    <w:uiPriority w:val="99"/>
    <w:semiHidden/>
    <w:unhideWhenUsed/>
    <w:rPr>
      <w:color w:val="954f72" w:themeColor="followedHyperlink"/>
      <w:u w:val="single"/>
    </w:rPr>
  </w:style>
  <w:style w:type="paragraph" w:styleId="833">
    <w:name w:val="Revision"/>
    <w:hidden/>
    <w:uiPriority w:val="99"/>
    <w:semiHidden/>
  </w:style>
  <w:style w:type="paragraph" w:styleId="834">
    <w:name w:val="footnote text"/>
    <w:basedOn w:val="813"/>
    <w:link w:val="835"/>
    <w:uiPriority w:val="99"/>
    <w:semiHidden/>
    <w:unhideWhenUsed/>
    <w:rPr>
      <w:sz w:val="20"/>
      <w:szCs w:val="20"/>
      <w:lang w:bidi="he-IL"/>
    </w:rPr>
  </w:style>
  <w:style w:type="character" w:styleId="835" w:customStyle="1">
    <w:name w:val="Fußnotentext Zchn"/>
    <w:basedOn w:val="816"/>
    <w:link w:val="834"/>
    <w:uiPriority w:val="99"/>
    <w:semiHidden/>
    <w:rPr>
      <w:sz w:val="20"/>
      <w:szCs w:val="20"/>
      <w:lang w:bidi="he-IL"/>
    </w:rPr>
  </w:style>
  <w:style w:type="character" w:styleId="836">
    <w:name w:val="footnote reference"/>
    <w:basedOn w:val="816"/>
    <w:uiPriority w:val="99"/>
    <w:semiHidden/>
    <w:unhideWhenUsed/>
    <w:rPr>
      <w:vertAlign w:val="superscript"/>
    </w:rPr>
  </w:style>
  <w:style w:type="character" w:styleId="837" w:customStyle="1">
    <w:name w:val="Überschrift 1 Zchn"/>
    <w:basedOn w:val="816"/>
    <w:link w:val="814"/>
    <w:uiPriority w:val="9"/>
    <w:rPr>
      <w:rFonts w:ascii="Times New Roman" w:hAnsi="Times New Roman" w:eastAsia="Times New Roman" w:cs="Times New Roman"/>
      <w:sz w:val="70"/>
      <w:szCs w:val="70"/>
      <w:lang w:eastAsia="de-DE" w:bidi="de-DE"/>
    </w:rPr>
  </w:style>
  <w:style w:type="paragraph" w:styleId="838">
    <w:name w:val="Body Text"/>
    <w:basedOn w:val="813"/>
    <w:link w:val="839"/>
    <w:uiPriority w:val="1"/>
    <w:qFormat/>
    <w:pPr>
      <w:widowControl w:val="off"/>
    </w:pPr>
    <w:rPr>
      <w:rFonts w:ascii="Calibri" w:hAnsi="Calibri" w:eastAsia="Calibri" w:cs="Calibri"/>
      <w:sz w:val="20"/>
      <w:szCs w:val="20"/>
      <w:lang w:eastAsia="de-DE" w:bidi="de-DE"/>
    </w:rPr>
  </w:style>
  <w:style w:type="character" w:styleId="839" w:customStyle="1">
    <w:name w:val="Textkörper Zchn"/>
    <w:basedOn w:val="816"/>
    <w:link w:val="838"/>
    <w:uiPriority w:val="1"/>
    <w:rPr>
      <w:rFonts w:ascii="Calibri" w:hAnsi="Calibri" w:eastAsia="Calibri" w:cs="Calibri"/>
      <w:sz w:val="20"/>
      <w:szCs w:val="20"/>
      <w:lang w:eastAsia="de-DE" w:bidi="de-DE"/>
    </w:rPr>
  </w:style>
  <w:style w:type="character" w:styleId="840">
    <w:name w:val="line number"/>
    <w:basedOn w:val="816"/>
    <w:uiPriority w:val="99"/>
    <w:semiHidden/>
    <w:unhideWhenUsed/>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footer" Target="footer1.xml" /><Relationship Id="rId13" Type="http://schemas.openxmlformats.org/officeDocument/2006/relationships/footer" Target="footer2.xml" /><Relationship Id="rId14" Type="http://schemas.openxmlformats.org/officeDocument/2006/relationships/footer" Target="footer3.xml" /><Relationship Id="rId15" Type="http://schemas.openxmlformats.org/officeDocument/2006/relationships/footer" Target="footer4.xml" /><Relationship Id="rId16" Type="http://schemas.openxmlformats.org/officeDocument/2006/relationships/customXml" Target="../customXml/item1.xml" /><Relationship Id="rId17" Type="http://schemas.openxmlformats.org/officeDocument/2006/relationships/image" Target="media/image1.jpg"/><Relationship Id="rId18" Type="http://schemas.openxmlformats.org/officeDocument/2006/relationships/image" Target="media/image2.jpg"/><Relationship Id="rId19" Type="http://schemas.openxmlformats.org/officeDocument/2006/relationships/image" Target="media/image3.jpg"/><Relationship Id="rId20" Type="http://schemas.openxmlformats.org/officeDocument/2006/relationships/image" Target="media/image4.jpg"/><Relationship Id="rId21" Type="http://schemas.openxmlformats.org/officeDocument/2006/relationships/image" Target="media/image5.jpg"/><Relationship Id="rId22" Type="http://schemas.openxmlformats.org/officeDocument/2006/relationships/image" Target="media/image6.jpg"/><Relationship Id="rId23" Type="http://schemas.openxmlformats.org/officeDocument/2006/relationships/image" Target="media/image7.jpg"/><Relationship Id="rId24" Type="http://schemas.openxmlformats.org/officeDocument/2006/relationships/image" Target="media/image8.jpg"/><Relationship Id="rId25" Type="http://schemas.openxmlformats.org/officeDocument/2006/relationships/image" Target="media/image9.jpg"/><Relationship Id="rId26" Type="http://schemas.openxmlformats.org/officeDocument/2006/relationships/image" Target="media/image10.jpg"/><Relationship Id="rId27" Type="http://schemas.openxmlformats.org/officeDocument/2006/relationships/image" Target="media/image11.jpg"/><Relationship Id="rId28" Type="http://schemas.openxmlformats.org/officeDocument/2006/relationships/image" Target="media/image12.png"/><Relationship Id="rId29" Type="http://schemas.openxmlformats.org/officeDocument/2006/relationships/hyperlink" Target="https://www.tagesschau.de/inland/faq-sinti-roma-101.html" TargetMode="External"/><Relationship Id="rId30" Type="http://schemas.openxmlformats.org/officeDocument/2006/relationships/hyperlink" Target="https://www.tagesspiegel.de/berlin/roma-und-sinti-furchten-weiter-um-ihr-denkmal-in-berlin-tiergarten-4752145.html" TargetMode="External"/><Relationship Id="rId31" Type="http://schemas.openxmlformats.org/officeDocument/2006/relationships/comments" Target="comments.xml" /><Relationship Id="rId32" Type="http://schemas.microsoft.com/office/2011/relationships/commentsExtended" Target="commentsExtended.xml" /><Relationship Id="rId33" Type="http://schemas.microsoft.com/office/2018/08/relationships/commentsExtensible" Target="commentsExtensible.xml" /><Relationship Id="rId34" Type="http://schemas.microsoft.com/office/2016/09/relationships/commentsIds" Target="commentsIds.xml" /><Relationship Id="rId35" Type="http://schemas.microsoft.com/office/2011/relationships/people" Target="people.xml" /></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_rels/header3.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FD8178-DF42-4A25-9FDD-C31ED35406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ONLYOFFICE/7.3.3.49</Application>
  <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Fabian Heindl;Markus Gloe</dc:creator>
  <cp:keywords/>
  <dc:description/>
  <cp:lastModifiedBy>Lisa Schwendemann</cp:lastModifiedBy>
  <cp:revision>9</cp:revision>
  <dcterms:created xsi:type="dcterms:W3CDTF">2023-02-17T14:59:00Z</dcterms:created>
  <dcterms:modified xsi:type="dcterms:W3CDTF">2023-03-31T05:15:37Z</dcterms:modified>
</cp:coreProperties>
</file>